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43" w:rsidRPr="00B50343" w:rsidRDefault="00B50343" w:rsidP="00B50343">
      <w:pPr>
        <w:tabs>
          <w:tab w:val="left" w:pos="846"/>
          <w:tab w:val="left" w:pos="1440"/>
          <w:tab w:val="left" w:pos="2880"/>
          <w:tab w:val="left" w:pos="4320"/>
          <w:tab w:val="left" w:pos="5760"/>
        </w:tabs>
        <w:snapToGrid w:val="0"/>
        <w:jc w:val="center"/>
        <w:rPr>
          <w:color w:val="000000"/>
          <w:szCs w:val="24"/>
        </w:rPr>
      </w:pPr>
      <w:r w:rsidRPr="00B50343">
        <w:rPr>
          <w:b/>
          <w:color w:val="000000"/>
          <w:szCs w:val="24"/>
        </w:rPr>
        <w:t>SUGGESTED BASIS FOR A LETTER TO "INTERESTED PARTIES" UNDER  SECTION 17 OF THE MISSION AND PASTORAL MEASURE 2011</w:t>
      </w:r>
    </w:p>
    <w:p w:rsidR="00B50343" w:rsidRPr="00B50343" w:rsidRDefault="00B50343" w:rsidP="00B50343">
      <w:pPr>
        <w:tabs>
          <w:tab w:val="left" w:pos="540"/>
          <w:tab w:val="left" w:pos="1440"/>
          <w:tab w:val="left" w:pos="2880"/>
          <w:tab w:val="left" w:pos="4320"/>
          <w:tab w:val="left" w:pos="5760"/>
        </w:tabs>
        <w:snapToGrid w:val="0"/>
        <w:jc w:val="both"/>
        <w:rPr>
          <w:color w:val="000000"/>
          <w:sz w:val="22"/>
        </w:rPr>
      </w:pPr>
      <w:bookmarkStart w:id="0" w:name="app6c"/>
      <w:bookmarkEnd w:id="0"/>
    </w:p>
    <w:p w:rsidR="00B50343" w:rsidRPr="00B50343"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ind w:left="720" w:hanging="720"/>
        <w:rPr>
          <w:color w:val="000000"/>
          <w:sz w:val="22"/>
        </w:rPr>
      </w:pPr>
    </w:p>
    <w:p w:rsidR="00B50343" w:rsidRPr="00B50343"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ind w:left="720" w:hanging="720"/>
        <w:rPr>
          <w:color w:val="000000"/>
          <w:sz w:val="22"/>
        </w:rPr>
      </w:pPr>
    </w:p>
    <w:p w:rsidR="00B50343" w:rsidRPr="00B50343"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jc w:val="both"/>
        <w:rPr>
          <w:color w:val="000000"/>
          <w:sz w:val="22"/>
        </w:rPr>
      </w:pPr>
      <w:r w:rsidRPr="00B50343">
        <w:rPr>
          <w:i/>
          <w:color w:val="000000"/>
          <w:sz w:val="22"/>
        </w:rPr>
        <w:t>Please refer to the Code for matters which may be dealt with by the shortened procedure under s.17 of the Mission and Pastoral Measure.</w:t>
      </w:r>
    </w:p>
    <w:p w:rsidR="00B50343" w:rsidRPr="00B50343"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rPr>
          <w:color w:val="000000"/>
          <w:sz w:val="22"/>
        </w:rPr>
      </w:pPr>
    </w:p>
    <w:p w:rsidR="00B50343" w:rsidRPr="00B50343" w:rsidRDefault="00B50343" w:rsidP="00B50343">
      <w:pPr>
        <w:tabs>
          <w:tab w:val="left" w:pos="846"/>
          <w:tab w:val="left" w:pos="1440"/>
          <w:tab w:val="left" w:pos="2880"/>
          <w:tab w:val="left" w:pos="4320"/>
          <w:tab w:val="left" w:pos="5760"/>
        </w:tabs>
        <w:snapToGrid w:val="0"/>
        <w:rPr>
          <w:color w:val="000000"/>
          <w:sz w:val="22"/>
        </w:rPr>
      </w:pPr>
      <w:r w:rsidRPr="00B50343">
        <w:rPr>
          <w:color w:val="000000"/>
          <w:sz w:val="22"/>
        </w:rPr>
        <w:t>To:</w:t>
      </w:r>
    </w:p>
    <w:p w:rsidR="00B50343" w:rsidRPr="00B50343" w:rsidRDefault="00B50343" w:rsidP="00B50343">
      <w:pPr>
        <w:tabs>
          <w:tab w:val="left" w:pos="846"/>
          <w:tab w:val="left" w:pos="1440"/>
          <w:tab w:val="left" w:pos="2880"/>
          <w:tab w:val="left" w:pos="4320"/>
          <w:tab w:val="left" w:pos="5760"/>
        </w:tabs>
        <w:snapToGrid w:val="0"/>
        <w:rPr>
          <w:color w:val="000000"/>
          <w:sz w:val="22"/>
        </w:rPr>
      </w:pPr>
    </w:p>
    <w:p w:rsidR="00D6395D" w:rsidRDefault="00B50343" w:rsidP="00B50343">
      <w:pPr>
        <w:tabs>
          <w:tab w:val="left" w:pos="846"/>
          <w:tab w:val="left" w:pos="1440"/>
          <w:tab w:val="left" w:pos="2880"/>
          <w:tab w:val="left" w:pos="4320"/>
          <w:tab w:val="left" w:pos="5760"/>
        </w:tabs>
        <w:snapToGrid w:val="0"/>
        <w:rPr>
          <w:i/>
          <w:color w:val="000000"/>
          <w:sz w:val="22"/>
        </w:rPr>
      </w:pPr>
      <w:r w:rsidRPr="00B50343">
        <w:rPr>
          <w:i/>
          <w:color w:val="000000"/>
          <w:sz w:val="22"/>
        </w:rPr>
        <w:t>List of interested parties</w:t>
      </w:r>
      <w:r w:rsidR="00935A39">
        <w:rPr>
          <w:i/>
          <w:color w:val="000000"/>
          <w:sz w:val="22"/>
        </w:rPr>
        <w:t xml:space="preserve"> of the affected benefices and parishes</w:t>
      </w:r>
      <w:r w:rsidR="00D6395D">
        <w:rPr>
          <w:i/>
          <w:color w:val="000000"/>
          <w:sz w:val="22"/>
        </w:rPr>
        <w:t xml:space="preserve"> </w:t>
      </w:r>
    </w:p>
    <w:p w:rsidR="00D6395D" w:rsidRDefault="00D6395D" w:rsidP="00B50343">
      <w:pPr>
        <w:tabs>
          <w:tab w:val="left" w:pos="846"/>
          <w:tab w:val="left" w:pos="1440"/>
          <w:tab w:val="left" w:pos="2880"/>
          <w:tab w:val="left" w:pos="4320"/>
          <w:tab w:val="left" w:pos="5760"/>
        </w:tabs>
        <w:snapToGrid w:val="0"/>
        <w:rPr>
          <w:i/>
          <w:color w:val="000000"/>
          <w:sz w:val="22"/>
        </w:rPr>
      </w:pPr>
      <w:r>
        <w:rPr>
          <w:i/>
          <w:color w:val="000000"/>
          <w:sz w:val="22"/>
        </w:rPr>
        <w:t>(being the  incumbents; priests-in-charge; PCC secretaries; patrons*; archdeacon(s); rural dean(s); and deanery syn</w:t>
      </w:r>
      <w:r w:rsidR="0064129A">
        <w:rPr>
          <w:i/>
          <w:color w:val="000000"/>
          <w:sz w:val="22"/>
        </w:rPr>
        <w:t>od lay co-chairman (or chairmen)</w:t>
      </w:r>
      <w:r>
        <w:rPr>
          <w:i/>
          <w:color w:val="000000"/>
          <w:sz w:val="22"/>
        </w:rPr>
        <w:t xml:space="preserve">. </w:t>
      </w:r>
    </w:p>
    <w:p w:rsidR="00D6395D" w:rsidRDefault="00D6395D" w:rsidP="00B50343">
      <w:pPr>
        <w:tabs>
          <w:tab w:val="left" w:pos="846"/>
          <w:tab w:val="left" w:pos="1440"/>
          <w:tab w:val="left" w:pos="2880"/>
          <w:tab w:val="left" w:pos="4320"/>
          <w:tab w:val="left" w:pos="5760"/>
        </w:tabs>
        <w:snapToGrid w:val="0"/>
        <w:rPr>
          <w:i/>
          <w:color w:val="000000"/>
          <w:sz w:val="22"/>
        </w:rPr>
      </w:pPr>
    </w:p>
    <w:p w:rsidR="00B50343" w:rsidRDefault="00D6395D" w:rsidP="00B50343">
      <w:pPr>
        <w:tabs>
          <w:tab w:val="left" w:pos="846"/>
          <w:tab w:val="left" w:pos="1440"/>
          <w:tab w:val="left" w:pos="2880"/>
          <w:tab w:val="left" w:pos="4320"/>
          <w:tab w:val="left" w:pos="5760"/>
        </w:tabs>
        <w:snapToGrid w:val="0"/>
        <w:rPr>
          <w:i/>
          <w:color w:val="000000"/>
          <w:sz w:val="22"/>
        </w:rPr>
      </w:pPr>
      <w:r>
        <w:rPr>
          <w:i/>
          <w:color w:val="000000"/>
          <w:sz w:val="22"/>
        </w:rPr>
        <w:t>[*Patrons not interested parties in matters limited to creating, altering or dissolving archdeaconries or deaneries or altering the name of any archdeaconry or deanery.]</w:t>
      </w:r>
    </w:p>
    <w:p w:rsidR="00D6395D" w:rsidRPr="00B50343" w:rsidRDefault="00D6395D" w:rsidP="00B50343">
      <w:pPr>
        <w:tabs>
          <w:tab w:val="left" w:pos="846"/>
          <w:tab w:val="left" w:pos="1440"/>
          <w:tab w:val="left" w:pos="2880"/>
          <w:tab w:val="left" w:pos="4320"/>
          <w:tab w:val="left" w:pos="5760"/>
        </w:tabs>
        <w:snapToGrid w:val="0"/>
        <w:rPr>
          <w:color w:val="000000"/>
          <w:sz w:val="22"/>
        </w:rPr>
      </w:pPr>
    </w:p>
    <w:p w:rsidR="00B50343" w:rsidRPr="00B50343" w:rsidRDefault="00B50343" w:rsidP="00B50343">
      <w:pPr>
        <w:tabs>
          <w:tab w:val="left" w:pos="846"/>
          <w:tab w:val="left" w:pos="1440"/>
          <w:tab w:val="left" w:pos="2880"/>
          <w:tab w:val="left" w:pos="4320"/>
          <w:tab w:val="left" w:pos="5760"/>
        </w:tabs>
        <w:snapToGrid w:val="0"/>
        <w:rPr>
          <w:color w:val="000000"/>
          <w:sz w:val="22"/>
        </w:rPr>
      </w:pPr>
    </w:p>
    <w:p w:rsidR="00B50343" w:rsidRPr="00B50343" w:rsidRDefault="00B50343" w:rsidP="00B50343">
      <w:pPr>
        <w:tabs>
          <w:tab w:val="left" w:pos="846"/>
          <w:tab w:val="left" w:pos="1440"/>
          <w:tab w:val="left" w:pos="2880"/>
          <w:tab w:val="left" w:pos="4320"/>
          <w:tab w:val="left" w:pos="5760"/>
        </w:tabs>
        <w:snapToGrid w:val="0"/>
        <w:rPr>
          <w:color w:val="000000"/>
          <w:sz w:val="22"/>
        </w:rPr>
      </w:pPr>
      <w:r w:rsidRPr="00B50343">
        <w:rPr>
          <w:color w:val="000000"/>
          <w:sz w:val="22"/>
        </w:rPr>
        <w:t>MISSION AND PASTORAL MEASURE 2011</w:t>
      </w:r>
    </w:p>
    <w:p w:rsidR="00B50343" w:rsidRPr="00B50343" w:rsidRDefault="00B50343" w:rsidP="00B50343">
      <w:pPr>
        <w:tabs>
          <w:tab w:val="left" w:pos="846"/>
          <w:tab w:val="left" w:pos="1440"/>
          <w:tab w:val="left" w:pos="2880"/>
          <w:tab w:val="left" w:pos="4320"/>
          <w:tab w:val="left" w:pos="5760"/>
        </w:tabs>
        <w:snapToGrid w:val="0"/>
        <w:rPr>
          <w:color w:val="000000"/>
          <w:sz w:val="22"/>
        </w:rPr>
      </w:pPr>
      <w:r w:rsidRPr="00B50343">
        <w:rPr>
          <w:color w:val="000000"/>
          <w:sz w:val="22"/>
        </w:rPr>
        <w:t>BENEFICE(S) OF</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r w:rsidRPr="00B50343">
        <w:rPr>
          <w:color w:val="000000"/>
          <w:sz w:val="22"/>
        </w:rPr>
        <w:t>As you may well be aware, informal discussions have been taking place about proposals for [                ].</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r w:rsidRPr="00B50343">
        <w:rPr>
          <w:color w:val="000000"/>
          <w:sz w:val="22"/>
        </w:rPr>
        <w:t>The Diocesan Mission and Pastoral Committee has considered the matter and has noted that there appears to be widespread informal approval of these proposals. The Committee therefore proposes to prepare a draft order to give effect to the proposals and to submit it to the Bishop for his approval. If all the interested parties are now prepared to give their formal consent to the proposals, under the shortened procedure there will be no need for any further consultation. This will save the Church both time and money and enable the proposals to come into effect more quickly.</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r w:rsidRPr="00B50343">
        <w:rPr>
          <w:color w:val="000000"/>
          <w:sz w:val="22"/>
          <w:szCs w:val="22"/>
        </w:rPr>
        <w:t xml:space="preserve">I therefore enclose a copy of the proposals. If you are in agreement with the proposals I should be grateful if you would sign </w:t>
      </w:r>
      <w:r w:rsidRPr="00B50343">
        <w:rPr>
          <w:rFonts w:cs="Arial"/>
          <w:color w:val="000000"/>
          <w:sz w:val="22"/>
          <w:szCs w:val="22"/>
        </w:rPr>
        <w:t xml:space="preserve">the statement to that effect on the enclosed second copy of this letter </w:t>
      </w:r>
      <w:r w:rsidRPr="00B50343">
        <w:rPr>
          <w:color w:val="000000"/>
          <w:sz w:val="22"/>
          <w:szCs w:val="22"/>
        </w:rPr>
        <w:t>(or, where appropriate, arrange for it to be signed) as soon as possible and return it to me not later than by (</w:t>
      </w:r>
      <w:r w:rsidRPr="00B50343">
        <w:rPr>
          <w:i/>
          <w:color w:val="000000"/>
          <w:sz w:val="22"/>
          <w:szCs w:val="22"/>
        </w:rPr>
        <w:t>normally allow six weeks</w:t>
      </w:r>
      <w:r w:rsidRPr="00B50343">
        <w:rPr>
          <w:color w:val="000000"/>
          <w:sz w:val="22"/>
          <w:szCs w:val="22"/>
        </w:rPr>
        <w:t>)</w:t>
      </w:r>
      <w:r w:rsidRPr="00B50343">
        <w:rPr>
          <w:i/>
          <w:color w:val="000000"/>
          <w:sz w:val="22"/>
          <w:szCs w:val="22"/>
        </w:rPr>
        <w:t>.</w:t>
      </w:r>
      <w:r w:rsidRPr="00B50343">
        <w:rPr>
          <w:color w:val="000000"/>
          <w:sz w:val="22"/>
          <w:szCs w:val="22"/>
        </w:rPr>
        <w:t xml:space="preserve"> Please note that any agreement must be unconditional, so please let me know if you are not willing to agree unconditionally. If I have not heard from you by </w:t>
      </w:r>
      <w:r w:rsidRPr="00B50343">
        <w:rPr>
          <w:i/>
          <w:color w:val="000000"/>
          <w:sz w:val="22"/>
          <w:szCs w:val="22"/>
        </w:rPr>
        <w:t>(same date as above)</w:t>
      </w:r>
      <w:r w:rsidRPr="00B50343">
        <w:rPr>
          <w:color w:val="000000"/>
          <w:sz w:val="22"/>
          <w:szCs w:val="22"/>
        </w:rPr>
        <w:t xml:space="preserve">, I will regard it as your having deemed to agree to allow the proposals to proceed. Please also let me know if you wish to have any </w:t>
      </w:r>
      <w:r w:rsidRPr="00B50343">
        <w:rPr>
          <w:color w:val="000000"/>
          <w:sz w:val="22"/>
        </w:rPr>
        <w:t>further information regarding the effect of these proposals or about points of procedure.</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r w:rsidRPr="00B50343">
        <w:rPr>
          <w:color w:val="000000"/>
          <w:sz w:val="22"/>
        </w:rPr>
        <w:t>If any of those to whom this letter is being sent do not consent to these proposals the Diocesan Mission and Pastoral Committee may decide that it nevertheless wishes to recommend them to the Bishop with or without amendment. If it did so decide, it would have to proceed under the full procedure for a Pastoral Order which under section 6(1) the Measure includes ascertaining the views of the interested parties before making a recommendation to the Bishop. In that event it would treat this letter and the responses to it as that ascertaining of views.</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r w:rsidRPr="00B50343">
        <w:rPr>
          <w:color w:val="000000"/>
          <w:sz w:val="22"/>
        </w:rPr>
        <w:t xml:space="preserve">An incumbent or team vicar affected by these proposals has the right under the Measure to meet representatives of the Committee to present his or her views. A Parochial Church Council or its appointed representative may request to meet the Committee's representatives to discuss its views. Any of those parties who would, in that event, wish to have such a meeting should therefore indicate this when responding to this letter. </w:t>
      </w: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jc w:val="both"/>
        <w:rPr>
          <w:color w:val="000000"/>
          <w:sz w:val="22"/>
        </w:rPr>
      </w:pPr>
    </w:p>
    <w:p w:rsidR="00B50343" w:rsidRPr="00B50343" w:rsidRDefault="00B50343" w:rsidP="00B50343">
      <w:pPr>
        <w:tabs>
          <w:tab w:val="left" w:pos="846"/>
          <w:tab w:val="left" w:pos="1440"/>
          <w:tab w:val="left" w:pos="2880"/>
          <w:tab w:val="left" w:pos="4320"/>
          <w:tab w:val="left" w:pos="5760"/>
        </w:tabs>
        <w:snapToGrid w:val="0"/>
        <w:rPr>
          <w:color w:val="000000"/>
          <w:sz w:val="22"/>
        </w:rPr>
      </w:pPr>
      <w:r w:rsidRPr="00B50343">
        <w:rPr>
          <w:color w:val="000000"/>
          <w:sz w:val="22"/>
        </w:rPr>
        <w:t>Secretary to Diocesan Mission and Pastoral Committee</w:t>
      </w:r>
    </w:p>
    <w:p w:rsidR="00B50343" w:rsidRPr="00B50343" w:rsidRDefault="00B50343" w:rsidP="00B50343">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2"/>
        </w:rPr>
      </w:pPr>
    </w:p>
    <w:p w:rsidR="00B50343" w:rsidRPr="00B50343" w:rsidRDefault="00B50343" w:rsidP="00B50343"/>
    <w:p w:rsidR="00B50343" w:rsidRPr="00B50343" w:rsidRDefault="00B50343" w:rsidP="00B50343"/>
    <w:p w:rsidR="00B50343" w:rsidRPr="00B50343" w:rsidRDefault="00B50343" w:rsidP="00B50343">
      <w:pPr>
        <w:rPr>
          <w:sz w:val="28"/>
          <w:szCs w:val="28"/>
        </w:rPr>
      </w:pPr>
      <w:r w:rsidRPr="00B50343">
        <w:rPr>
          <w:sz w:val="28"/>
          <w:szCs w:val="28"/>
        </w:rPr>
        <w:t>I give my consent to the order described above being made.</w:t>
      </w:r>
    </w:p>
    <w:p w:rsidR="00B50343" w:rsidRPr="00B50343" w:rsidRDefault="00B50343" w:rsidP="00B50343">
      <w:pPr>
        <w:rPr>
          <w:sz w:val="28"/>
          <w:szCs w:val="28"/>
        </w:rPr>
      </w:pPr>
    </w:p>
    <w:p w:rsidR="00B50343" w:rsidRPr="00B50343" w:rsidRDefault="00B50343" w:rsidP="00B50343">
      <w:pPr>
        <w:rPr>
          <w:sz w:val="28"/>
          <w:szCs w:val="28"/>
        </w:rPr>
      </w:pPr>
      <w:r w:rsidRPr="00B50343">
        <w:rPr>
          <w:sz w:val="28"/>
          <w:szCs w:val="28"/>
        </w:rPr>
        <w:t>Signed:</w:t>
      </w:r>
    </w:p>
    <w:p w:rsidR="00B50343" w:rsidRPr="00B50343" w:rsidRDefault="00B50343" w:rsidP="00B50343">
      <w:pPr>
        <w:rPr>
          <w:sz w:val="28"/>
          <w:szCs w:val="28"/>
        </w:rPr>
      </w:pPr>
    </w:p>
    <w:p w:rsidR="00B50343" w:rsidRPr="00B50343" w:rsidRDefault="00B50343" w:rsidP="00B50343">
      <w:pPr>
        <w:rPr>
          <w:sz w:val="28"/>
          <w:szCs w:val="28"/>
        </w:rPr>
      </w:pPr>
      <w:r w:rsidRPr="00B50343">
        <w:rPr>
          <w:sz w:val="28"/>
          <w:szCs w:val="28"/>
        </w:rPr>
        <w:t>Position:</w:t>
      </w:r>
    </w:p>
    <w:p w:rsidR="00B50343" w:rsidRDefault="00B50343" w:rsidP="00B50343"/>
    <w:p w:rsidR="00351479" w:rsidRPr="00B50343" w:rsidRDefault="00351479" w:rsidP="00B50343">
      <w:r>
        <w:t>(e-mail consent is sufficient for our purposes)</w:t>
      </w:r>
    </w:p>
    <w:p w:rsidR="00952302" w:rsidRPr="00B50343" w:rsidRDefault="006C60F5" w:rsidP="00B50343">
      <w:bookmarkStart w:id="1" w:name="_GoBack"/>
      <w:bookmarkEnd w:id="1"/>
      <w:r>
        <w:rPr>
          <w:noProof/>
          <w:lang w:eastAsia="en-GB"/>
        </w:rPr>
        <mc:AlternateContent>
          <mc:Choice Requires="wps">
            <w:drawing>
              <wp:anchor distT="0" distB="0" distL="114300" distR="114300" simplePos="0" relativeHeight="251659264" behindDoc="0" locked="0" layoutInCell="1" allowOverlap="1" wp14:anchorId="6187D6F8" wp14:editId="334EC634">
                <wp:simplePos x="0" y="0"/>
                <wp:positionH relativeFrom="column">
                  <wp:posOffset>299085</wp:posOffset>
                </wp:positionH>
                <wp:positionV relativeFrom="paragraph">
                  <wp:posOffset>322580</wp:posOffset>
                </wp:positionV>
                <wp:extent cx="4572000" cy="1600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0200"/>
                        </a:xfrm>
                        <a:prstGeom prst="rect">
                          <a:avLst/>
                        </a:prstGeom>
                        <a:solidFill>
                          <a:srgbClr val="FFFFFF"/>
                        </a:solidFill>
                        <a:ln w="9525">
                          <a:solidFill>
                            <a:srgbClr val="000000"/>
                          </a:solidFill>
                          <a:miter lim="800000"/>
                          <a:headEnd/>
                          <a:tailEnd/>
                        </a:ln>
                      </wps:spPr>
                      <wps:txbx>
                        <w:txbxContent>
                          <w:p w:rsidR="00B50343" w:rsidRDefault="00B50343" w:rsidP="00B50343">
                            <w:pPr>
                              <w:rPr>
                                <w:sz w:val="28"/>
                                <w:szCs w:val="28"/>
                              </w:rPr>
                            </w:pPr>
                          </w:p>
                          <w:p w:rsidR="00B50343" w:rsidRDefault="00B50343" w:rsidP="00B50343">
                            <w:pPr>
                              <w:rPr>
                                <w:color w:val="0000FF"/>
                                <w:szCs w:val="24"/>
                              </w:rPr>
                            </w:pPr>
                            <w:r>
                              <w:rPr>
                                <w:b/>
                                <w:color w:val="0000FF"/>
                                <w:szCs w:val="24"/>
                                <w:u w:val="single"/>
                              </w:rPr>
                              <w:t>For the information of the DMPC secretary</w:t>
                            </w:r>
                            <w:r>
                              <w:rPr>
                                <w:color w:val="0000FF"/>
                                <w:szCs w:val="24"/>
                              </w:rPr>
                              <w:t xml:space="preserve">: Please note that the ‘deemed consent’ principle under the s17 shortened procedure Order route does </w:t>
                            </w:r>
                            <w:r>
                              <w:rPr>
                                <w:color w:val="0000FF"/>
                                <w:szCs w:val="24"/>
                                <w:u w:val="single"/>
                              </w:rPr>
                              <w:t>not</w:t>
                            </w:r>
                            <w:r>
                              <w:rPr>
                                <w:color w:val="0000FF"/>
                                <w:szCs w:val="24"/>
                              </w:rPr>
                              <w:t xml:space="preserve"> extend to benefices in the patronage of the Crown/Duchy of Lancaster/Duchy of Cornwall or where the Crown is acting as Guardian of the Temporalities during any vacancy of the see -  consent </w:t>
                            </w:r>
                            <w:r>
                              <w:rPr>
                                <w:color w:val="0000FF"/>
                                <w:szCs w:val="24"/>
                                <w:u w:val="single"/>
                              </w:rPr>
                              <w:t>must</w:t>
                            </w:r>
                            <w:r>
                              <w:rPr>
                                <w:color w:val="0000FF"/>
                                <w:szCs w:val="24"/>
                              </w:rPr>
                              <w:t xml:space="preserve"> be obtained in such instances before any interested parties under the Mission and Pastoral Measure process are consulted.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5pt;margin-top:25.4pt;width:5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">
                <v:textbox>
                  <w:txbxContent>
                    <w:p w:rsidR="00B50343" w:rsidRDefault="00B50343" w:rsidP="00B50343">
                      <w:pPr>
                        <w:rPr>
                          <w:sz w:val="28"/>
                          <w:szCs w:val="28"/>
                        </w:rPr>
                      </w:pPr>
                    </w:p>
                    <w:p w:rsidR="00B50343" w:rsidRDefault="00B50343" w:rsidP="00B50343">
                      <w:pPr>
                        <w:rPr>
                          <w:color w:val="0000FF"/>
                          <w:szCs w:val="24"/>
                        </w:rPr>
                      </w:pPr>
                      <w:r>
                        <w:rPr>
                          <w:b/>
                          <w:color w:val="0000FF"/>
                          <w:szCs w:val="24"/>
                          <w:u w:val="single"/>
                        </w:rPr>
                        <w:t>For the information of the DMPC secretary</w:t>
                      </w:r>
                      <w:r>
                        <w:rPr>
                          <w:color w:val="0000FF"/>
                          <w:szCs w:val="24"/>
                        </w:rPr>
                        <w:t xml:space="preserve">: Please note that the ‘deemed consent’ principle under the s17 shortened procedure Order route does </w:t>
                      </w:r>
                      <w:r>
                        <w:rPr>
                          <w:color w:val="0000FF"/>
                          <w:szCs w:val="24"/>
                          <w:u w:val="single"/>
                        </w:rPr>
                        <w:t>not</w:t>
                      </w:r>
                      <w:r>
                        <w:rPr>
                          <w:color w:val="0000FF"/>
                          <w:szCs w:val="24"/>
                        </w:rPr>
                        <w:t xml:space="preserve"> extend to benefices in the patronage of the Crown/Duchy of Lancaster/Duchy of Cornwall or where the Crown is acting as Guardian of the Temporalities during any vacancy of the see -  consent </w:t>
                      </w:r>
                      <w:r>
                        <w:rPr>
                          <w:color w:val="0000FF"/>
                          <w:szCs w:val="24"/>
                          <w:u w:val="single"/>
                        </w:rPr>
                        <w:t>must</w:t>
                      </w:r>
                      <w:r>
                        <w:rPr>
                          <w:color w:val="0000FF"/>
                          <w:szCs w:val="24"/>
                        </w:rPr>
                        <w:t xml:space="preserve"> be obtained in such instances before any interested parties under the Mission and Pastoral Measure process are consulted.</w:t>
                      </w:r>
                    </w:p>
                  </w:txbxContent>
                </v:textbox>
                <w10:wrap type="square"/>
              </v:shape>
            </w:pict>
          </mc:Fallback>
        </mc:AlternateContent>
      </w:r>
    </w:p>
    <w:sectPr w:rsidR="00952302" w:rsidRPr="00B50343" w:rsidSect="00DC3F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63" w:rsidRDefault="00A35163" w:rsidP="00A35163">
      <w:r>
        <w:separator/>
      </w:r>
    </w:p>
  </w:endnote>
  <w:endnote w:type="continuationSeparator" w:id="0">
    <w:p w:rsidR="00A35163" w:rsidRDefault="00A35163" w:rsidP="00A3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63" w:rsidRDefault="00A35163" w:rsidP="00A35163">
      <w:r>
        <w:separator/>
      </w:r>
    </w:p>
  </w:footnote>
  <w:footnote w:type="continuationSeparator" w:id="0">
    <w:p w:rsidR="00A35163" w:rsidRDefault="00A35163" w:rsidP="00A35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3" w:rsidRDefault="00A3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43"/>
    <w:rsid w:val="000C7556"/>
    <w:rsid w:val="00351479"/>
    <w:rsid w:val="004017A5"/>
    <w:rsid w:val="004A6671"/>
    <w:rsid w:val="0064129A"/>
    <w:rsid w:val="006C60F5"/>
    <w:rsid w:val="00927096"/>
    <w:rsid w:val="00935A39"/>
    <w:rsid w:val="00952302"/>
    <w:rsid w:val="00A35163"/>
    <w:rsid w:val="00AA4115"/>
    <w:rsid w:val="00B50343"/>
    <w:rsid w:val="00CE466A"/>
    <w:rsid w:val="00D6395D"/>
    <w:rsid w:val="00EE6867"/>
    <w:rsid w:val="00EF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B50343"/>
    <w:rPr>
      <w:color w:val="000000"/>
      <w:sz w:val="22"/>
      <w:lang w:eastAsia="en-US"/>
    </w:rPr>
  </w:style>
  <w:style w:type="paragraph" w:styleId="BodyText">
    <w:name w:val="Body Text"/>
    <w:basedOn w:val="Normal"/>
    <w:link w:val="BodyTextChar"/>
    <w:uiPriority w:val="99"/>
    <w:unhideWhenUsed/>
    <w:rsid w:val="00B50343"/>
    <w:pPr>
      <w:snapToGrid w:val="0"/>
    </w:pPr>
    <w:rPr>
      <w:color w:val="000000"/>
    </w:rPr>
  </w:style>
  <w:style w:type="character" w:customStyle="1" w:styleId="BodyTextChar">
    <w:name w:val="Body Text Char"/>
    <w:basedOn w:val="DefaultParagraphFont"/>
    <w:link w:val="BodyText"/>
    <w:uiPriority w:val="99"/>
    <w:rsid w:val="00B50343"/>
    <w:rPr>
      <w:color w:val="000000"/>
      <w:sz w:val="24"/>
      <w:lang w:eastAsia="en-US"/>
    </w:rPr>
  </w:style>
  <w:style w:type="paragraph" w:styleId="Header">
    <w:name w:val="header"/>
    <w:basedOn w:val="Normal"/>
    <w:link w:val="HeaderChar"/>
    <w:rsid w:val="00A35163"/>
    <w:pPr>
      <w:tabs>
        <w:tab w:val="center" w:pos="4513"/>
        <w:tab w:val="right" w:pos="9026"/>
      </w:tabs>
    </w:pPr>
  </w:style>
  <w:style w:type="character" w:customStyle="1" w:styleId="HeaderChar">
    <w:name w:val="Header Char"/>
    <w:basedOn w:val="DefaultParagraphFont"/>
    <w:link w:val="Header"/>
    <w:rsid w:val="00A35163"/>
    <w:rPr>
      <w:sz w:val="24"/>
      <w:lang w:eastAsia="en-US"/>
    </w:rPr>
  </w:style>
  <w:style w:type="paragraph" w:styleId="Footer">
    <w:name w:val="footer"/>
    <w:basedOn w:val="Normal"/>
    <w:link w:val="FooterChar"/>
    <w:rsid w:val="00A35163"/>
    <w:pPr>
      <w:tabs>
        <w:tab w:val="center" w:pos="4513"/>
        <w:tab w:val="right" w:pos="9026"/>
      </w:tabs>
    </w:pPr>
  </w:style>
  <w:style w:type="character" w:customStyle="1" w:styleId="FooterChar">
    <w:name w:val="Footer Char"/>
    <w:basedOn w:val="DefaultParagraphFont"/>
    <w:link w:val="Footer"/>
    <w:rsid w:val="00A3516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B50343"/>
    <w:rPr>
      <w:color w:val="000000"/>
      <w:sz w:val="22"/>
      <w:lang w:eastAsia="en-US"/>
    </w:rPr>
  </w:style>
  <w:style w:type="paragraph" w:styleId="BodyText">
    <w:name w:val="Body Text"/>
    <w:basedOn w:val="Normal"/>
    <w:link w:val="BodyTextChar"/>
    <w:uiPriority w:val="99"/>
    <w:unhideWhenUsed/>
    <w:rsid w:val="00B50343"/>
    <w:pPr>
      <w:snapToGrid w:val="0"/>
    </w:pPr>
    <w:rPr>
      <w:color w:val="000000"/>
    </w:rPr>
  </w:style>
  <w:style w:type="character" w:customStyle="1" w:styleId="BodyTextChar">
    <w:name w:val="Body Text Char"/>
    <w:basedOn w:val="DefaultParagraphFont"/>
    <w:link w:val="BodyText"/>
    <w:uiPriority w:val="99"/>
    <w:rsid w:val="00B50343"/>
    <w:rPr>
      <w:color w:val="000000"/>
      <w:sz w:val="24"/>
      <w:lang w:eastAsia="en-US"/>
    </w:rPr>
  </w:style>
  <w:style w:type="paragraph" w:styleId="Header">
    <w:name w:val="header"/>
    <w:basedOn w:val="Normal"/>
    <w:link w:val="HeaderChar"/>
    <w:rsid w:val="00A35163"/>
    <w:pPr>
      <w:tabs>
        <w:tab w:val="center" w:pos="4513"/>
        <w:tab w:val="right" w:pos="9026"/>
      </w:tabs>
    </w:pPr>
  </w:style>
  <w:style w:type="character" w:customStyle="1" w:styleId="HeaderChar">
    <w:name w:val="Header Char"/>
    <w:basedOn w:val="DefaultParagraphFont"/>
    <w:link w:val="Header"/>
    <w:rsid w:val="00A35163"/>
    <w:rPr>
      <w:sz w:val="24"/>
      <w:lang w:eastAsia="en-US"/>
    </w:rPr>
  </w:style>
  <w:style w:type="paragraph" w:styleId="Footer">
    <w:name w:val="footer"/>
    <w:basedOn w:val="Normal"/>
    <w:link w:val="FooterChar"/>
    <w:rsid w:val="00A35163"/>
    <w:pPr>
      <w:tabs>
        <w:tab w:val="center" w:pos="4513"/>
        <w:tab w:val="right" w:pos="9026"/>
      </w:tabs>
    </w:pPr>
  </w:style>
  <w:style w:type="character" w:customStyle="1" w:styleId="FooterChar">
    <w:name w:val="Footer Char"/>
    <w:basedOn w:val="DefaultParagraphFont"/>
    <w:link w:val="Footer"/>
    <w:rsid w:val="00A351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C882831B</Template>
  <TotalTime>0</TotalTime>
  <Pages>2</Pages>
  <Words>544</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2014-09-16T10:48:00Z</dcterms:created>
  <dcterms:modified xsi:type="dcterms:W3CDTF">2015-03-19T14:39:00Z</dcterms:modified>
</cp:coreProperties>
</file>