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DB" w:rsidRPr="00466DDB" w:rsidRDefault="00466DDB" w:rsidP="00924C00">
      <w:pPr>
        <w:pStyle w:val="Heading1"/>
        <w:numPr>
          <w:ilvl w:val="0"/>
          <w:numId w:val="0"/>
        </w:numPr>
        <w:rPr>
          <w:rFonts w:cs="Arial"/>
          <w:color w:val="00257A"/>
          <w:sz w:val="48"/>
          <w:szCs w:val="48"/>
        </w:rPr>
      </w:pPr>
      <w:bookmarkStart w:id="0" w:name="_Toc150152555"/>
      <w:bookmarkStart w:id="1" w:name="_Toc323133513"/>
      <w:r w:rsidRPr="00466DDB">
        <w:rPr>
          <w:rFonts w:cs="Arial"/>
          <w:color w:val="00257A"/>
          <w:sz w:val="48"/>
          <w:szCs w:val="48"/>
        </w:rPr>
        <w:t xml:space="preserve">Appendix </w:t>
      </w:r>
      <w:r w:rsidR="00924C00">
        <w:rPr>
          <w:rFonts w:cs="Arial"/>
          <w:color w:val="00257A"/>
          <w:sz w:val="48"/>
          <w:szCs w:val="48"/>
        </w:rPr>
        <w:t>G</w:t>
      </w:r>
      <w:r w:rsidRPr="00466DDB">
        <w:rPr>
          <w:rFonts w:cs="Arial"/>
          <w:color w:val="00257A"/>
          <w:sz w:val="48"/>
          <w:szCs w:val="48"/>
        </w:rPr>
        <w:t xml:space="preserve">: </w:t>
      </w:r>
      <w:r w:rsidR="00924C00" w:rsidRPr="00924C00">
        <w:rPr>
          <w:rFonts w:cs="Arial"/>
          <w:color w:val="00257A"/>
          <w:sz w:val="48"/>
          <w:szCs w:val="48"/>
        </w:rPr>
        <w:t>Incident log and report to governors</w:t>
      </w:r>
    </w:p>
    <w:bookmarkEnd w:id="0"/>
    <w:bookmarkEnd w:id="1"/>
    <w:p w:rsidR="00924C00" w:rsidRPr="006F1F83" w:rsidRDefault="00924C00" w:rsidP="00924C00">
      <w:pPr>
        <w:spacing w:after="120"/>
        <w:rPr>
          <w:rFonts w:eastAsiaTheme="minorHAnsi" w:cs="Arial"/>
          <w:color w:val="9966CC"/>
          <w:sz w:val="24"/>
        </w:rPr>
      </w:pPr>
      <w:r w:rsidRPr="006F1F83">
        <w:rPr>
          <w:rFonts w:eastAsiaTheme="minorHAnsi" w:cs="Arial"/>
          <w:color w:val="9966CC"/>
          <w:sz w:val="24"/>
        </w:rPr>
        <w:t>All incidents reported via a form (like the above) should be recorded centrally. The data collected should be regularly monitored and analysed by the designated staff responsible for anti-bullying. They should analyse any trends in HBT bullying.</w:t>
      </w:r>
    </w:p>
    <w:p w:rsidR="0054086D" w:rsidRDefault="00924C00" w:rsidP="00924C00">
      <w:pPr>
        <w:spacing w:after="120"/>
        <w:rPr>
          <w:rFonts w:eastAsiaTheme="minorHAnsi" w:cs="Arial"/>
          <w:color w:val="9966CC"/>
          <w:sz w:val="24"/>
        </w:rPr>
      </w:pPr>
      <w:r w:rsidRPr="006F1F83">
        <w:rPr>
          <w:rFonts w:eastAsiaTheme="minorHAnsi" w:cs="Arial"/>
          <w:color w:val="9966CC"/>
          <w:sz w:val="24"/>
        </w:rPr>
        <w:t xml:space="preserve">This data should also be reported to the governors and to the local authority (where applicable). The governors are responsible for evaluating the effectiveness of the school’s policies and approach. The data on incidents of bullying that has been collected and analysed will help to identify any further steps that need to be taken to prevent and respond to bullying. </w:t>
      </w:r>
    </w:p>
    <w:p w:rsidR="00924C00" w:rsidRPr="005B565F" w:rsidRDefault="00924C00" w:rsidP="00924C00">
      <w:pPr>
        <w:spacing w:after="120"/>
        <w:rPr>
          <w:rFonts w:cs="Arial"/>
          <w:i/>
          <w:color w:val="9966CC"/>
        </w:rPr>
      </w:pPr>
      <w:r w:rsidRPr="006F1F83">
        <w:rPr>
          <w:rFonts w:eastAsiaTheme="minorHAnsi" w:cs="Arial"/>
          <w:color w:val="9966CC"/>
          <w:sz w:val="24"/>
        </w:rPr>
        <w:t>The incident log should reflect the categories of the reporting form.</w:t>
      </w:r>
      <w:r>
        <w:rPr>
          <w:rFonts w:cs="Arial"/>
          <w:i/>
          <w:color w:val="9966CC"/>
        </w:rPr>
        <w:br/>
      </w:r>
    </w:p>
    <w:p w:rsidR="00924C00" w:rsidRPr="005B565F" w:rsidRDefault="000E798A" w:rsidP="00924C00">
      <w:pPr>
        <w:spacing w:after="0"/>
        <w:rPr>
          <w:rFonts w:cs="Arial"/>
          <w:b/>
          <w:color w:val="00257A"/>
          <w:sz w:val="24"/>
        </w:rPr>
      </w:pPr>
      <w:r>
        <w:rPr>
          <w:rFonts w:eastAsiaTheme="minorHAnsi" w:cs="Arial"/>
          <w:noProof/>
          <w:color w:val="9966CC"/>
          <w:sz w:val="24"/>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-636</wp:posOffset>
                </wp:positionV>
                <wp:extent cx="6124575"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9966CC"/>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FDFD0F1" id="Straight Connector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05pt" to="4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" strokecolor="#96c">
                <o:lock v:ext="edit" shapetype="f"/>
              </v:line>
            </w:pict>
          </mc:Fallback>
        </mc:AlternateContent>
      </w:r>
    </w:p>
    <w:tbl>
      <w:tblPr>
        <w:tblW w:w="9781" w:type="dxa"/>
        <w:tblInd w:w="108" w:type="dxa"/>
        <w:tblBorders>
          <w:insideH w:val="single" w:sz="18" w:space="0" w:color="FFFFFF" w:themeColor="background1"/>
          <w:insideV w:val="single" w:sz="18" w:space="0" w:color="FFFFFF" w:themeColor="background1"/>
        </w:tblBorders>
        <w:tblLayout w:type="fixed"/>
        <w:tblCellMar>
          <w:top w:w="85" w:type="dxa"/>
          <w:left w:w="85" w:type="dxa"/>
          <w:bottom w:w="85" w:type="dxa"/>
          <w:right w:w="85" w:type="dxa"/>
        </w:tblCellMar>
        <w:tblLook w:val="04A0" w:firstRow="1" w:lastRow="0" w:firstColumn="1" w:lastColumn="0" w:noHBand="0" w:noVBand="1"/>
      </w:tblPr>
      <w:tblGrid>
        <w:gridCol w:w="2245"/>
        <w:gridCol w:w="7536"/>
      </w:tblGrid>
      <w:tr w:rsidR="00924C00" w:rsidRPr="005B565F" w:rsidTr="00924C00">
        <w:trPr>
          <w:trHeight w:val="256"/>
        </w:trPr>
        <w:tc>
          <w:tcPr>
            <w:tcW w:w="9781" w:type="dxa"/>
            <w:gridSpan w:val="2"/>
            <w:shd w:val="clear" w:color="auto" w:fill="9966CC"/>
            <w:hideMark/>
          </w:tcPr>
          <w:p w:rsidR="00924C00" w:rsidRPr="00924C00" w:rsidRDefault="00924C00" w:rsidP="00924C00">
            <w:pPr>
              <w:spacing w:after="0"/>
              <w:rPr>
                <w:b/>
                <w:color w:val="FFFFFF" w:themeColor="background1"/>
                <w:lang w:eastAsia="en-GB"/>
              </w:rPr>
            </w:pPr>
            <w:r w:rsidRPr="00924C00">
              <w:rPr>
                <w:b/>
                <w:color w:val="FFFFFF" w:themeColor="background1"/>
                <w:lang w:eastAsia="en-GB"/>
              </w:rPr>
              <w:t>Incident Log</w:t>
            </w:r>
          </w:p>
        </w:tc>
      </w:tr>
      <w:tr w:rsidR="00924C00" w:rsidRPr="005B565F" w:rsidTr="00924C00">
        <w:trPr>
          <w:trHeight w:val="25"/>
        </w:trPr>
        <w:tc>
          <w:tcPr>
            <w:tcW w:w="2245" w:type="dxa"/>
            <w:shd w:val="clear" w:color="auto" w:fill="808080" w:themeFill="background1" w:themeFillShade="80"/>
          </w:tcPr>
          <w:p w:rsidR="00924C00" w:rsidRPr="00924C00" w:rsidRDefault="00924C00" w:rsidP="008B462A">
            <w:pPr>
              <w:spacing w:after="0"/>
              <w:rPr>
                <w:b/>
                <w:color w:val="FFFFFF" w:themeColor="background1"/>
                <w:lang w:eastAsia="en-GB"/>
              </w:rPr>
            </w:pPr>
            <w:r w:rsidRPr="00924C00">
              <w:rPr>
                <w:b/>
                <w:color w:val="FFFFFF" w:themeColor="background1"/>
                <w:lang w:val="en-US" w:eastAsia="en-GB"/>
              </w:rPr>
              <w:t xml:space="preserve">Nature of incident </w:t>
            </w:r>
          </w:p>
        </w:tc>
        <w:tc>
          <w:tcPr>
            <w:tcW w:w="7536" w:type="dxa"/>
            <w:shd w:val="clear" w:color="auto" w:fill="D9D9D9" w:themeFill="background1" w:themeFillShade="D9"/>
          </w:tcPr>
          <w:p w:rsidR="00924C00" w:rsidRPr="005B565F" w:rsidRDefault="00924C00" w:rsidP="00924C00">
            <w:pPr>
              <w:spacing w:after="0"/>
              <w:rPr>
                <w:color w:val="000000"/>
                <w:lang w:val="en-US" w:eastAsia="en-GB"/>
              </w:rPr>
            </w:pPr>
          </w:p>
        </w:tc>
      </w:tr>
      <w:tr w:rsidR="00924C00" w:rsidRPr="005B565F" w:rsidTr="00924C00">
        <w:trPr>
          <w:trHeight w:val="46"/>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Form of incident</w:t>
            </w:r>
          </w:p>
        </w:tc>
        <w:tc>
          <w:tcPr>
            <w:tcW w:w="7536" w:type="dxa"/>
            <w:shd w:val="clear" w:color="auto" w:fill="D9D9D9" w:themeFill="background1" w:themeFillShade="D9"/>
          </w:tcPr>
          <w:p w:rsidR="00924C00" w:rsidRPr="005B565F" w:rsidRDefault="00924C00" w:rsidP="00924C00">
            <w:pPr>
              <w:spacing w:after="0"/>
              <w:rPr>
                <w:color w:val="000000"/>
                <w:lang w:val="en-US" w:eastAsia="en-GB"/>
              </w:rPr>
            </w:pPr>
          </w:p>
        </w:tc>
      </w:tr>
      <w:tr w:rsidR="00924C00" w:rsidRPr="005B565F" w:rsidTr="00924C00">
        <w:trPr>
          <w:trHeight w:val="25"/>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Date of incident</w:t>
            </w:r>
          </w:p>
        </w:tc>
        <w:tc>
          <w:tcPr>
            <w:tcW w:w="7536" w:type="dxa"/>
            <w:shd w:val="clear" w:color="auto" w:fill="D9D9D9" w:themeFill="background1" w:themeFillShade="D9"/>
          </w:tcPr>
          <w:p w:rsidR="00924C00" w:rsidRPr="005B565F" w:rsidRDefault="00924C00" w:rsidP="00924C00">
            <w:pPr>
              <w:spacing w:after="0"/>
              <w:rPr>
                <w:color w:val="000000"/>
                <w:lang w:val="en-US" w:eastAsia="en-GB"/>
              </w:rPr>
            </w:pPr>
          </w:p>
        </w:tc>
      </w:tr>
      <w:tr w:rsidR="00924C00" w:rsidRPr="005B565F" w:rsidTr="00924C00">
        <w:trPr>
          <w:trHeight w:val="25"/>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Plac</w:t>
            </w:r>
            <w:r>
              <w:rPr>
                <w:b/>
                <w:color w:val="FFFFFF" w:themeColor="background1"/>
                <w:lang w:val="en-US" w:eastAsia="en-GB"/>
              </w:rPr>
              <w:t>e</w:t>
            </w:r>
          </w:p>
        </w:tc>
        <w:tc>
          <w:tcPr>
            <w:tcW w:w="7536" w:type="dxa"/>
            <w:shd w:val="clear" w:color="auto" w:fill="D9D9D9" w:themeFill="background1" w:themeFillShade="D9"/>
          </w:tcPr>
          <w:p w:rsidR="00924C00" w:rsidRPr="005B565F" w:rsidRDefault="00924C00" w:rsidP="00924C00">
            <w:pPr>
              <w:spacing w:after="0"/>
              <w:rPr>
                <w:color w:val="000000"/>
                <w:lang w:val="en-US" w:eastAsia="en-GB"/>
              </w:rPr>
            </w:pPr>
          </w:p>
        </w:tc>
      </w:tr>
      <w:tr w:rsidR="00924C00" w:rsidRPr="005B565F" w:rsidTr="00924C00">
        <w:trPr>
          <w:trHeight w:val="25"/>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Time</w:t>
            </w:r>
          </w:p>
        </w:tc>
        <w:tc>
          <w:tcPr>
            <w:tcW w:w="7536" w:type="dxa"/>
            <w:shd w:val="clear" w:color="auto" w:fill="D9D9D9" w:themeFill="background1" w:themeFillShade="D9"/>
          </w:tcPr>
          <w:p w:rsidR="00924C00" w:rsidRPr="005B565F" w:rsidRDefault="00924C00" w:rsidP="00924C00">
            <w:pPr>
              <w:spacing w:after="0"/>
              <w:rPr>
                <w:color w:val="000000"/>
                <w:lang w:val="en-US" w:eastAsia="en-GB"/>
              </w:rPr>
            </w:pPr>
          </w:p>
        </w:tc>
      </w:tr>
      <w:tr w:rsidR="00924C00" w:rsidRPr="005B565F" w:rsidTr="00924C00">
        <w:trPr>
          <w:trHeight w:val="25"/>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Aggressor profile</w:t>
            </w:r>
          </w:p>
        </w:tc>
        <w:tc>
          <w:tcPr>
            <w:tcW w:w="7536" w:type="dxa"/>
            <w:shd w:val="clear" w:color="auto" w:fill="D9D9D9" w:themeFill="background1" w:themeFillShade="D9"/>
          </w:tcPr>
          <w:p w:rsidR="00924C00" w:rsidRDefault="00924C00" w:rsidP="00924C00">
            <w:pPr>
              <w:spacing w:after="0"/>
              <w:rPr>
                <w:color w:val="000000"/>
                <w:lang w:val="en-US" w:eastAsia="en-GB"/>
              </w:rPr>
            </w:pPr>
          </w:p>
          <w:p w:rsidR="00924C00" w:rsidRDefault="00924C00" w:rsidP="00924C00">
            <w:pPr>
              <w:spacing w:after="0"/>
              <w:rPr>
                <w:color w:val="000000"/>
                <w:lang w:val="en-US" w:eastAsia="en-GB"/>
              </w:rPr>
            </w:pPr>
          </w:p>
          <w:p w:rsidR="00924C00" w:rsidRPr="005B565F" w:rsidRDefault="00924C00" w:rsidP="00924C00">
            <w:pPr>
              <w:spacing w:after="0"/>
              <w:rPr>
                <w:color w:val="000000"/>
                <w:lang w:val="en-US" w:eastAsia="en-GB"/>
              </w:rPr>
            </w:pPr>
          </w:p>
        </w:tc>
      </w:tr>
      <w:tr w:rsidR="00924C00" w:rsidRPr="005B565F" w:rsidTr="00924C00">
        <w:trPr>
          <w:trHeight w:val="25"/>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Target profile</w:t>
            </w:r>
          </w:p>
        </w:tc>
        <w:tc>
          <w:tcPr>
            <w:tcW w:w="7536" w:type="dxa"/>
            <w:shd w:val="clear" w:color="auto" w:fill="D9D9D9" w:themeFill="background1" w:themeFillShade="D9"/>
          </w:tcPr>
          <w:p w:rsidR="00924C00" w:rsidRDefault="00924C00" w:rsidP="00924C00">
            <w:pPr>
              <w:spacing w:after="0"/>
              <w:rPr>
                <w:color w:val="000000"/>
                <w:lang w:val="en-US" w:eastAsia="en-GB"/>
              </w:rPr>
            </w:pPr>
          </w:p>
          <w:p w:rsidR="00924C00" w:rsidRDefault="00924C00" w:rsidP="00924C00">
            <w:pPr>
              <w:spacing w:after="0"/>
              <w:rPr>
                <w:color w:val="000000"/>
                <w:lang w:val="en-US" w:eastAsia="en-GB"/>
              </w:rPr>
            </w:pPr>
          </w:p>
          <w:p w:rsidR="00924C00" w:rsidRPr="005B565F" w:rsidRDefault="00924C00" w:rsidP="00924C00">
            <w:pPr>
              <w:spacing w:after="0"/>
              <w:rPr>
                <w:color w:val="000000"/>
                <w:lang w:val="en-US" w:eastAsia="en-GB"/>
              </w:rPr>
            </w:pPr>
          </w:p>
        </w:tc>
      </w:tr>
      <w:tr w:rsidR="00924C00" w:rsidRPr="005B565F" w:rsidTr="00924C00">
        <w:trPr>
          <w:trHeight w:val="200"/>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Repeat incident/serious incident</w:t>
            </w:r>
          </w:p>
        </w:tc>
        <w:tc>
          <w:tcPr>
            <w:tcW w:w="7536" w:type="dxa"/>
            <w:shd w:val="clear" w:color="auto" w:fill="D9D9D9" w:themeFill="background1" w:themeFillShade="D9"/>
          </w:tcPr>
          <w:p w:rsidR="00924C00" w:rsidRPr="005B565F" w:rsidRDefault="00924C00" w:rsidP="00924C00">
            <w:pPr>
              <w:spacing w:after="0"/>
              <w:rPr>
                <w:color w:val="000000"/>
                <w:lang w:val="en-US" w:eastAsia="en-GB"/>
              </w:rPr>
            </w:pPr>
          </w:p>
        </w:tc>
      </w:tr>
      <w:tr w:rsidR="00924C00" w:rsidRPr="005B565F" w:rsidTr="00924C00">
        <w:trPr>
          <w:trHeight w:val="457"/>
        </w:trPr>
        <w:tc>
          <w:tcPr>
            <w:tcW w:w="2245" w:type="dxa"/>
            <w:shd w:val="clear" w:color="auto" w:fill="808080" w:themeFill="background1" w:themeFillShade="80"/>
          </w:tcPr>
          <w:p w:rsidR="00924C00" w:rsidRPr="00924C00" w:rsidRDefault="00924C00" w:rsidP="00924C00">
            <w:pPr>
              <w:spacing w:after="0"/>
              <w:rPr>
                <w:b/>
                <w:color w:val="FFFFFF" w:themeColor="background1"/>
                <w:lang w:val="en-US" w:eastAsia="en-GB"/>
              </w:rPr>
            </w:pPr>
            <w:r w:rsidRPr="00924C00">
              <w:rPr>
                <w:b/>
                <w:color w:val="FFFFFF" w:themeColor="background1"/>
                <w:lang w:val="en-US" w:eastAsia="en-GB"/>
              </w:rPr>
              <w:t>Action taken and feedback from target</w:t>
            </w:r>
          </w:p>
        </w:tc>
        <w:tc>
          <w:tcPr>
            <w:tcW w:w="7536" w:type="dxa"/>
            <w:shd w:val="clear" w:color="auto" w:fill="D9D9D9" w:themeFill="background1" w:themeFillShade="D9"/>
          </w:tcPr>
          <w:p w:rsidR="00924C00" w:rsidRPr="005B565F" w:rsidRDefault="00924C00" w:rsidP="00924C00">
            <w:pPr>
              <w:spacing w:after="0"/>
              <w:rPr>
                <w:color w:val="000000"/>
                <w:lang w:val="en-US" w:eastAsia="en-GB"/>
              </w:rPr>
            </w:pPr>
          </w:p>
        </w:tc>
      </w:tr>
    </w:tbl>
    <w:p w:rsidR="00057DD3" w:rsidRPr="00924C00" w:rsidRDefault="00924C00" w:rsidP="00924C00">
      <w:pPr>
        <w:autoSpaceDE w:val="0"/>
        <w:autoSpaceDN w:val="0"/>
        <w:adjustRightInd w:val="0"/>
        <w:spacing w:after="0"/>
        <w:rPr>
          <w:rFonts w:cs="Arial"/>
          <w:i/>
          <w:color w:val="9966CC"/>
          <w:sz w:val="24"/>
          <w:szCs w:val="24"/>
          <w:lang w:val="en-US"/>
        </w:rPr>
      </w:pPr>
      <w:r>
        <w:rPr>
          <w:rFonts w:cs="Arial"/>
          <w:color w:val="000000"/>
          <w:sz w:val="24"/>
          <w:szCs w:val="24"/>
          <w:lang w:val="en-US"/>
        </w:rPr>
        <w:br/>
      </w:r>
      <w:r w:rsidRPr="005B565F">
        <w:rPr>
          <w:rFonts w:cs="Arial"/>
          <w:b/>
          <w:color w:val="00257A"/>
          <w:sz w:val="24"/>
          <w:szCs w:val="24"/>
          <w:lang w:val="en-US"/>
        </w:rPr>
        <w:t xml:space="preserve">Analysis of data </w:t>
      </w:r>
      <w:r>
        <w:rPr>
          <w:rFonts w:cs="Arial"/>
          <w:i/>
          <w:color w:val="9966CC"/>
          <w:szCs w:val="24"/>
          <w:lang w:val="en-US"/>
        </w:rPr>
        <w:br/>
      </w:r>
      <w:r w:rsidRPr="005402CC">
        <w:rPr>
          <w:rFonts w:cs="Arial"/>
          <w:color w:val="C00000"/>
          <w:szCs w:val="24"/>
          <w:lang w:val="en-US"/>
        </w:rPr>
        <w:t>[An analysis of the data (including any trends/patterns and any background information that might relate to trends) should be included here</w:t>
      </w:r>
      <w:r w:rsidR="0054086D">
        <w:rPr>
          <w:rFonts w:cs="Arial"/>
          <w:color w:val="C00000"/>
          <w:szCs w:val="24"/>
          <w:lang w:val="en-US"/>
        </w:rPr>
        <w:t>.</w:t>
      </w:r>
      <w:bookmarkStart w:id="2" w:name="_GoBack"/>
      <w:bookmarkEnd w:id="2"/>
      <w:r w:rsidRPr="005402CC">
        <w:rPr>
          <w:rFonts w:cs="Arial"/>
          <w:color w:val="C00000"/>
          <w:szCs w:val="24"/>
          <w:lang w:val="en-US"/>
        </w:rPr>
        <w:t>]</w:t>
      </w:r>
      <w:r>
        <w:rPr>
          <w:rFonts w:cs="Arial"/>
          <w:i/>
          <w:color w:val="9966CC"/>
          <w:szCs w:val="24"/>
          <w:lang w:val="en-US"/>
        </w:rPr>
        <w:br/>
      </w:r>
      <w:r>
        <w:rPr>
          <w:rFonts w:cs="Arial"/>
          <w:i/>
          <w:color w:val="9966CC"/>
          <w:szCs w:val="24"/>
          <w:lang w:val="en-US"/>
        </w:rPr>
        <w:br/>
      </w:r>
      <w:r w:rsidRPr="005B565F">
        <w:rPr>
          <w:rFonts w:cs="Arial"/>
          <w:b/>
          <w:color w:val="00257A"/>
          <w:sz w:val="24"/>
          <w:szCs w:val="24"/>
          <w:lang w:val="en-US"/>
        </w:rPr>
        <w:t xml:space="preserve">Actions to be taken </w:t>
      </w:r>
      <w:r>
        <w:rPr>
          <w:rFonts w:cs="Arial"/>
          <w:i/>
          <w:color w:val="9966CC"/>
          <w:sz w:val="24"/>
          <w:szCs w:val="24"/>
          <w:lang w:val="en-US"/>
        </w:rPr>
        <w:br/>
      </w:r>
      <w:r w:rsidRPr="005402CC">
        <w:rPr>
          <w:rFonts w:cs="Arial"/>
          <w:color w:val="C00000"/>
          <w:sz w:val="24"/>
          <w:szCs w:val="24"/>
          <w:lang w:val="en-US"/>
        </w:rPr>
        <w:t>[Any actions to be taken in light of the analysis of the data should be outlined here</w:t>
      </w:r>
      <w:r w:rsidR="0054086D">
        <w:rPr>
          <w:rFonts w:cs="Arial"/>
          <w:color w:val="C00000"/>
          <w:sz w:val="24"/>
          <w:szCs w:val="24"/>
          <w:lang w:val="en-US"/>
        </w:rPr>
        <w:t>.]</w:t>
      </w:r>
    </w:p>
    <w:sectPr w:rsidR="00057DD3" w:rsidRPr="00924C00" w:rsidSect="002A5885">
      <w:headerReference w:type="even" r:id="rId10"/>
      <w:headerReference w:type="default" r:id="rId11"/>
      <w:footerReference w:type="even" r:id="rId12"/>
      <w:footerReference w:type="default" r:id="rId13"/>
      <w:headerReference w:type="first" r:id="rId14"/>
      <w:footerReference w:type="first" r:id="rId15"/>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C4" w:rsidRDefault="00033FC4" w:rsidP="00E01671">
      <w:r>
        <w:separator/>
      </w:r>
    </w:p>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endnote>
  <w:endnote w:type="continuationSeparator" w:id="0">
    <w:p w:rsidR="00033FC4" w:rsidRDefault="00033FC4" w:rsidP="00E01671">
      <w:r>
        <w:continuationSeparator/>
      </w:r>
    </w:p>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MT">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02" w:rsidRDefault="0071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85" w:rsidRPr="00A6574F" w:rsidRDefault="002A5885" w:rsidP="002A5885">
    <w:pPr>
      <w:pStyle w:val="FooterLine1"/>
      <w:pBdr>
        <w:top w:val="single" w:sz="4" w:space="1" w:color="C0B3D3"/>
      </w:pBdr>
    </w:pPr>
  </w:p>
  <w:p w:rsidR="002B3862" w:rsidRPr="002A5885" w:rsidRDefault="00712F02" w:rsidP="002A5885">
    <w:pPr>
      <w:pStyle w:val="FooterLine1"/>
      <w:pBdr>
        <w:top w:val="none" w:sz="0" w:space="0" w:color="auto"/>
      </w:pBdr>
      <w:rPr>
        <w:color w:val="003366"/>
      </w:rPr>
    </w:pPr>
    <w:r w:rsidRPr="00712F02">
      <w:t xml:space="preserve">www.churchofengland.org/education </w:t>
    </w:r>
    <w:r w:rsidR="002A5885" w:rsidRPr="0050124E">
      <w:ptab w:relativeTo="margin" w:alignment="right" w:leader="none"/>
    </w:r>
    <w:r w:rsidR="002A5885" w:rsidRPr="0050124E">
      <w:t xml:space="preserve">Page </w:t>
    </w:r>
    <w:r w:rsidR="00CE3C9F"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CE3C9F" w:rsidRPr="0050124E">
      <w:rPr>
        <w:rStyle w:val="PageNumber"/>
        <w:rFonts w:ascii="InterFace" w:hAnsi="InterFace"/>
        <w:b w:val="0"/>
        <w:sz w:val="16"/>
        <w:szCs w:val="16"/>
      </w:rPr>
      <w:fldChar w:fldCharType="separate"/>
    </w:r>
    <w:r w:rsidR="0054086D">
      <w:rPr>
        <w:rStyle w:val="PageNumber"/>
        <w:rFonts w:ascii="InterFace" w:hAnsi="InterFace"/>
        <w:b w:val="0"/>
        <w:sz w:val="16"/>
        <w:szCs w:val="16"/>
      </w:rPr>
      <w:t>1</w:t>
    </w:r>
    <w:r w:rsidR="00CE3C9F" w:rsidRPr="0050124E">
      <w:rPr>
        <w:rStyle w:val="PageNumber"/>
        <w:rFonts w:ascii="InterFace" w:hAnsi="InterFace"/>
        <w:b w:val="0"/>
        <w:sz w:val="16"/>
        <w:szCs w:val="16"/>
      </w:rPr>
      <w:fldChar w:fldCharType="end"/>
    </w:r>
    <w:r w:rsidR="002A5885" w:rsidRPr="00851336">
      <w:rPr>
        <w:color w:val="00AEE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02" w:rsidRDefault="0071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C4" w:rsidRDefault="00033FC4" w:rsidP="00E01671">
      <w:r>
        <w:separator/>
      </w:r>
    </w:p>
  </w:footnote>
  <w:footnote w:type="continuationSeparator" w:id="0">
    <w:p w:rsidR="00033FC4" w:rsidRDefault="00033FC4" w:rsidP="00E01671">
      <w:r>
        <w:continuationSeparator/>
      </w:r>
    </w:p>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p w:rsidR="00033FC4" w:rsidRDefault="00033FC4" w:rsidP="00E0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02" w:rsidRDefault="0071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85" w:rsidRDefault="000E798A" w:rsidP="002A5885">
    <w:pPr>
      <w:pStyle w:val="HeaderLine1"/>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3023235</wp:posOffset>
              </wp:positionH>
              <wp:positionV relativeFrom="page">
                <wp:posOffset>666750</wp:posOffset>
              </wp:positionV>
              <wp:extent cx="3133725"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885" w:rsidRPr="002A5885" w:rsidRDefault="002A5885" w:rsidP="002A5885">
                          <w:pPr>
                            <w:pStyle w:val="HeaderLine1"/>
                            <w:jc w:val="right"/>
                            <w:rPr>
                              <w:caps w:val="0"/>
                              <w:sz w:val="20"/>
                              <w:szCs w:val="20"/>
                            </w:rPr>
                          </w:pPr>
                          <w:r>
                            <w:rPr>
                              <w:caps w:val="0"/>
                              <w:sz w:val="20"/>
                              <w:szCs w:val="20"/>
                            </w:rPr>
                            <w:t>Valuing All God’s C</w:t>
                          </w:r>
                          <w:r w:rsidRPr="002A5885">
                            <w:rPr>
                              <w:caps w:val="0"/>
                              <w:sz w:val="20"/>
                              <w:szCs w:val="20"/>
                            </w:rPr>
                            <w:t>hildren</w:t>
                          </w:r>
                        </w:p>
                        <w:p w:rsidR="002A5885" w:rsidRPr="00A30498" w:rsidRDefault="002A5885" w:rsidP="002A5885">
                          <w:pPr>
                            <w:pStyle w:val="HeaderLine2"/>
                            <w:pBdr>
                              <w:bottom w:val="none" w:sz="0" w:space="0" w:color="auto"/>
                            </w:pBdr>
                            <w:jc w:val="right"/>
                          </w:pPr>
                          <w:r w:rsidRPr="002A5885">
                            <w:t>Challenging homophobic, biphobic and transphobic bullying</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52.5pt;width:246.75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" filled="f" stroked="f">
              <v:textbox inset="0,0,0,0">
                <w:txbxContent>
                  <w:p w:rsidR="002A5885" w:rsidRPr="002A5885" w:rsidRDefault="002A5885" w:rsidP="002A5885">
                    <w:pPr>
                      <w:pStyle w:val="HeaderLine1"/>
                      <w:jc w:val="right"/>
                      <w:rPr>
                        <w:caps w:val="0"/>
                        <w:sz w:val="20"/>
                        <w:szCs w:val="20"/>
                      </w:rPr>
                    </w:pPr>
                    <w:r>
                      <w:rPr>
                        <w:caps w:val="0"/>
                        <w:sz w:val="20"/>
                        <w:szCs w:val="20"/>
                      </w:rPr>
                      <w:t>Valuing All God’s C</w:t>
                    </w:r>
                    <w:r w:rsidRPr="002A5885">
                      <w:rPr>
                        <w:caps w:val="0"/>
                        <w:sz w:val="20"/>
                        <w:szCs w:val="20"/>
                      </w:rPr>
                      <w:t>hildren</w:t>
                    </w:r>
                  </w:p>
                  <w:p w:rsidR="002A5885" w:rsidRPr="00A30498" w:rsidRDefault="002A5885" w:rsidP="002A5885">
                    <w:pPr>
                      <w:pStyle w:val="HeaderLine2"/>
                      <w:pBdr>
                        <w:bottom w:val="none" w:sz="0" w:space="0" w:color="auto"/>
                      </w:pBdr>
                      <w:jc w:val="right"/>
                    </w:pPr>
                    <w:r w:rsidRPr="002A5885">
                      <w:t>Challenging homophobic, biphobic and transphobic bullying</w:t>
                    </w:r>
                  </w:p>
                </w:txbxContent>
              </v:textbox>
              <w10:wrap anchorx="margin" anchory="page"/>
            </v:shape>
          </w:pict>
        </mc:Fallback>
      </mc:AlternateContent>
    </w:r>
    <w:r w:rsidR="002A5885" w:rsidRPr="00A30498">
      <w:rPr>
        <w:noProof/>
        <w:lang w:eastAsia="en-GB"/>
      </w:rPr>
      <w:drawing>
        <wp:inline distT="0" distB="0" distL="0" distR="0">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rsidR="002A5885" w:rsidRPr="00472501" w:rsidRDefault="002A5885" w:rsidP="002A5885"/>
  <w:p w:rsidR="002A5885" w:rsidRPr="002A5885" w:rsidRDefault="002A5885" w:rsidP="002A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02" w:rsidRDefault="00712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15:restartNumberingAfterBreak="0">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15:restartNumberingAfterBreak="0">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4D5C78B9"/>
    <w:multiLevelType w:val="hybridMultilevel"/>
    <w:tmpl w:val="32040AE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15:restartNumberingAfterBreak="0">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15:restartNumberingAfterBreak="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15:restartNumberingAfterBreak="0">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3FC4"/>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98A"/>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4529"/>
    <w:rsid w:val="00144C7D"/>
    <w:rsid w:val="00145586"/>
    <w:rsid w:val="00145D13"/>
    <w:rsid w:val="00145E0B"/>
    <w:rsid w:val="00150AD3"/>
    <w:rsid w:val="00150C3F"/>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4FAD"/>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7B74"/>
    <w:rsid w:val="00447B93"/>
    <w:rsid w:val="00450910"/>
    <w:rsid w:val="00450B96"/>
    <w:rsid w:val="00451816"/>
    <w:rsid w:val="00451FA2"/>
    <w:rsid w:val="004528ED"/>
    <w:rsid w:val="00452E3E"/>
    <w:rsid w:val="00453969"/>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2CC"/>
    <w:rsid w:val="00540454"/>
    <w:rsid w:val="0054067F"/>
    <w:rsid w:val="0054086D"/>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432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1A39"/>
    <w:rsid w:val="006F1F83"/>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02"/>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CFC"/>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612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4C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4BF"/>
    <w:rsid w:val="00B87682"/>
    <w:rsid w:val="00B87B5E"/>
    <w:rsid w:val="00B87E60"/>
    <w:rsid w:val="00B91A83"/>
    <w:rsid w:val="00B92A62"/>
    <w:rsid w:val="00B92C2D"/>
    <w:rsid w:val="00B93610"/>
    <w:rsid w:val="00B9426D"/>
    <w:rsid w:val="00B9537C"/>
    <w:rsid w:val="00B95FBA"/>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3C9F"/>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30"/>
    <w:rsid w:val="00E37BB8"/>
    <w:rsid w:val="00E41792"/>
    <w:rsid w:val="00E417BA"/>
    <w:rsid w:val="00E42857"/>
    <w:rsid w:val="00E4299F"/>
    <w:rsid w:val="00E42B68"/>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1888"/>
    <w:rsid w:val="00E72CDD"/>
    <w:rsid w:val="00E73490"/>
    <w:rsid w:val="00E7357E"/>
    <w:rsid w:val="00E736DD"/>
    <w:rsid w:val="00E73D13"/>
    <w:rsid w:val="00E74299"/>
    <w:rsid w:val="00E75002"/>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4019"/>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4CBC53"/>
  <w15:docId w15:val="{80A5F309-0463-4ED8-86D7-6A33F7DE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6F8C-E5B7-4951-9076-3BDC530469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A948C1-42E6-4820-9F08-588AB8BF35E7"/>
    <ds:schemaRef ds:uri="http://www.w3.org/XML/1998/namespace"/>
    <ds:schemaRef ds:uri="http://purl.org/dc/dcmitype/"/>
  </ds:schemaRefs>
</ds:datastoreItem>
</file>

<file path=customXml/itemProps2.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2CB71-A2FD-4C8C-A1CB-CBFBE8A5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1212</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Jemma Adams</cp:lastModifiedBy>
  <cp:revision>5</cp:revision>
  <cp:lastPrinted>2017-10-24T13:51:00Z</cp:lastPrinted>
  <dcterms:created xsi:type="dcterms:W3CDTF">2017-11-13T13:44:00Z</dcterms:created>
  <dcterms:modified xsi:type="dcterms:W3CDTF">2017-11-13T13:56:00Z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