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12EDA" w14:textId="3FA691EF" w:rsidR="005B67CA" w:rsidRPr="005B67CA" w:rsidRDefault="00F73A4D" w:rsidP="005B67CA">
      <w:pPr>
        <w:pStyle w:val="Title"/>
        <w:rPr>
          <w:b/>
          <w:bCs/>
        </w:rPr>
      </w:pPr>
      <w:r>
        <w:rPr>
          <w:b/>
          <w:bCs/>
        </w:rPr>
        <w:t>Safer Recruitment and People Management Assessment</w:t>
      </w:r>
      <w:r w:rsidR="00A37A16" w:rsidRPr="002B64A7">
        <w:rPr>
          <w:b/>
          <w:bCs/>
        </w:rPr>
        <w:t xml:space="preserve"> Tool</w:t>
      </w:r>
      <w:r w:rsidR="00A43278">
        <w:rPr>
          <w:b/>
          <w:bCs/>
        </w:rPr>
        <w:t xml:space="preserve"> (Short Version)</w:t>
      </w: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10350"/>
      </w:tblGrid>
      <w:tr w:rsidR="00F700EC" w:rsidRPr="00F700EC" w14:paraId="1D5C969E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295B58E8" w14:textId="20577687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  <w:tc>
          <w:tcPr>
            <w:tcW w:w="3734" w:type="pct"/>
          </w:tcPr>
          <w:p w14:paraId="306E9526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1D810245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68C657E6" w14:textId="2832572F" w:rsidR="00EE0928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 w:rsidRPr="00F700EC">
              <w:rPr>
                <w:rFonts w:cstheme="minorHAnsi"/>
                <w:b/>
              </w:rPr>
              <w:t>Form Completed By:</w:t>
            </w:r>
          </w:p>
        </w:tc>
        <w:tc>
          <w:tcPr>
            <w:tcW w:w="3734" w:type="pct"/>
          </w:tcPr>
          <w:p w14:paraId="1C26F490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2B64A7" w:rsidRPr="00F700EC" w14:paraId="7EF8346F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2018765" w14:textId="444E2BC5" w:rsidR="002B64A7" w:rsidRPr="00F700EC" w:rsidRDefault="002B64A7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Diocese</w:t>
            </w:r>
            <w:r w:rsidR="002D4045">
              <w:rPr>
                <w:rFonts w:cstheme="minorHAnsi"/>
                <w:b/>
              </w:rPr>
              <w:t>/Cathedral/Parish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FB4323D" w14:textId="77777777" w:rsidR="002B64A7" w:rsidRPr="00F700EC" w:rsidRDefault="002B64A7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F700EC" w:rsidRPr="00F700EC" w14:paraId="6750AA8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32A61F44" w14:textId="5263BE02" w:rsidR="00F700EC" w:rsidRPr="00F700EC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Participants (Including Role):</w:t>
            </w:r>
          </w:p>
        </w:tc>
        <w:tc>
          <w:tcPr>
            <w:tcW w:w="3734" w:type="pct"/>
          </w:tcPr>
          <w:p w14:paraId="2A0A46F3" w14:textId="77777777" w:rsidR="00F700EC" w:rsidRPr="00F700EC" w:rsidRDefault="00F700EC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EE0928" w:rsidRPr="00F700EC" w14:paraId="23753DDC" w14:textId="77777777" w:rsidTr="00A600DA">
        <w:trPr>
          <w:trHeight w:val="283"/>
        </w:trPr>
        <w:tc>
          <w:tcPr>
            <w:tcW w:w="1266" w:type="pct"/>
            <w:shd w:val="clear" w:color="auto" w:fill="F2F2F2" w:themeFill="background1" w:themeFillShade="F2"/>
          </w:tcPr>
          <w:p w14:paraId="706D716B" w14:textId="45685AC1" w:rsidR="00EE0928" w:rsidRDefault="00EE0928" w:rsidP="00A600DA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Case Identifier</w:t>
            </w:r>
            <w:r w:rsidR="00C222E8">
              <w:rPr>
                <w:rFonts w:cstheme="minorHAnsi"/>
                <w:b/>
              </w:rPr>
              <w:t>:</w:t>
            </w:r>
          </w:p>
        </w:tc>
        <w:tc>
          <w:tcPr>
            <w:tcW w:w="3734" w:type="pct"/>
          </w:tcPr>
          <w:p w14:paraId="31A509C9" w14:textId="77777777" w:rsidR="00EE0928" w:rsidRPr="00F700EC" w:rsidRDefault="00EE0928" w:rsidP="00A600D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1AA9DA4" w14:textId="5A9CF724" w:rsidR="00A37A16" w:rsidRPr="00ED54A6" w:rsidRDefault="00A37A16" w:rsidP="00A37A16">
      <w:pPr>
        <w:pStyle w:val="Heading1"/>
      </w:pPr>
      <w:r>
        <w:t>Scoring System (0-2)</w:t>
      </w:r>
    </w:p>
    <w:p w14:paraId="696E9942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 xml:space="preserve">0 indicates “No”. </w:t>
      </w:r>
    </w:p>
    <w:p w14:paraId="52FA5C68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1 indicates “Partially”.</w:t>
      </w:r>
    </w:p>
    <w:p w14:paraId="69B7DD0B" w14:textId="77777777" w:rsidR="00A37A16" w:rsidRPr="00ED54A6" w:rsidRDefault="00A37A16" w:rsidP="00A37A16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2 indicates “Yes”.</w:t>
      </w:r>
    </w:p>
    <w:p w14:paraId="07F50B09" w14:textId="27600DBB" w:rsidR="00392816" w:rsidRDefault="00A37A16" w:rsidP="00F73A4D">
      <w:pPr>
        <w:pStyle w:val="ListParagraph"/>
        <w:numPr>
          <w:ilvl w:val="0"/>
          <w:numId w:val="7"/>
        </w:numPr>
        <w:rPr>
          <w:rFonts w:cstheme="minorHAnsi"/>
        </w:rPr>
      </w:pPr>
      <w:r w:rsidRPr="00ED54A6">
        <w:rPr>
          <w:rFonts w:cstheme="minorHAnsi"/>
        </w:rPr>
        <w:t>“N/A” Used for those that are not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6"/>
        <w:gridCol w:w="8187"/>
        <w:gridCol w:w="720"/>
        <w:gridCol w:w="2945"/>
      </w:tblGrid>
      <w:tr w:rsidR="00A824A1" w14:paraId="004DAF0C" w14:textId="77777777" w:rsidTr="00754326">
        <w:tc>
          <w:tcPr>
            <w:tcW w:w="2096" w:type="dxa"/>
            <w:shd w:val="clear" w:color="auto" w:fill="F2F2F2" w:themeFill="background1" w:themeFillShade="F2"/>
          </w:tcPr>
          <w:p w14:paraId="3FF476FE" w14:textId="6B54E6E5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085D501" w14:textId="7DAA1B77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9493BF6" w14:textId="175A203B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Score</w:t>
            </w:r>
          </w:p>
        </w:tc>
        <w:tc>
          <w:tcPr>
            <w:tcW w:w="2945" w:type="dxa"/>
            <w:shd w:val="clear" w:color="auto" w:fill="F2F2F2" w:themeFill="background1" w:themeFillShade="F2"/>
          </w:tcPr>
          <w:p w14:paraId="198E39D7" w14:textId="0F0EA74E" w:rsidR="00A824A1" w:rsidRPr="00C94D69" w:rsidRDefault="00A824A1" w:rsidP="004A46FA">
            <w:pPr>
              <w:jc w:val="center"/>
              <w:rPr>
                <w:rFonts w:cstheme="minorHAnsi"/>
                <w:b/>
                <w:bCs/>
              </w:rPr>
            </w:pPr>
            <w:r w:rsidRPr="00C94D69">
              <w:rPr>
                <w:rFonts w:cstheme="minorHAnsi"/>
                <w:b/>
                <w:bCs/>
              </w:rPr>
              <w:t>Comments</w:t>
            </w:r>
          </w:p>
        </w:tc>
      </w:tr>
      <w:tr w:rsidR="00A824A1" w14:paraId="0F0A3AD9" w14:textId="77777777" w:rsidTr="00754326">
        <w:trPr>
          <w:trHeight w:val="850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050055C" w14:textId="268F6026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Responsibilities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68EA5769" w14:textId="7802C909" w:rsidR="00A824A1" w:rsidRPr="00C94D69" w:rsidRDefault="00A824A1" w:rsidP="00874A67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C94D69">
              <w:rPr>
                <w:rFonts w:cstheme="minorHAnsi"/>
              </w:rPr>
              <w:t>here</w:t>
            </w:r>
            <w:r>
              <w:rPr>
                <w:rFonts w:cstheme="minorHAnsi"/>
              </w:rPr>
              <w:t xml:space="preserve"> is</w:t>
            </w:r>
            <w:r w:rsidRPr="00C94D69">
              <w:rPr>
                <w:rFonts w:cstheme="minorHAnsi"/>
              </w:rPr>
              <w:t xml:space="preserve"> always a responsible person identified for every role that needs to be safely recruited</w:t>
            </w:r>
            <w:r>
              <w:rPr>
                <w:rFonts w:cstheme="minorHAnsi"/>
              </w:rPr>
              <w:t xml:space="preserve"> and everyone involved in the process, including those with ongoing responsibility for the role, are </w:t>
            </w:r>
            <w:r w:rsidR="0042165B">
              <w:rPr>
                <w:rFonts w:cstheme="minorHAnsi"/>
              </w:rPr>
              <w:t>up to date</w:t>
            </w:r>
            <w:r>
              <w:rPr>
                <w:rFonts w:cstheme="minorHAnsi"/>
              </w:rPr>
              <w:t xml:space="preserve"> with their SRPM training. </w:t>
            </w:r>
          </w:p>
        </w:tc>
        <w:tc>
          <w:tcPr>
            <w:tcW w:w="720" w:type="dxa"/>
            <w:vAlign w:val="center"/>
          </w:tcPr>
          <w:p w14:paraId="012851CE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02D70C94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2B6D1185" w14:textId="77777777" w:rsidTr="00754326">
        <w:trPr>
          <w:trHeight w:val="1701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1367D82B" w14:textId="685F1A9C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Role Descriptions and Person Specification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73DF9F46" w14:textId="77777777" w:rsidR="00A824A1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 role description/person specification</w:t>
            </w:r>
            <w:r>
              <w:rPr>
                <w:rFonts w:cstheme="minorHAnsi"/>
              </w:rPr>
              <w:t xml:space="preserve"> is provided</w:t>
            </w:r>
            <w:r w:rsidRPr="00C94D69">
              <w:rPr>
                <w:rFonts w:cstheme="minorHAnsi"/>
              </w:rPr>
              <w:t xml:space="preserve"> for every role that needs to be safely recruited</w:t>
            </w:r>
            <w:r>
              <w:rPr>
                <w:rFonts w:cstheme="minorHAnsi"/>
              </w:rPr>
              <w:t>.</w:t>
            </w:r>
            <w:r w:rsidR="00690B0E">
              <w:rPr>
                <w:rFonts w:cstheme="minorHAnsi"/>
              </w:rPr>
              <w:t xml:space="preserve"> This includes:</w:t>
            </w:r>
          </w:p>
          <w:p w14:paraId="75E6A99C" w14:textId="40A3FAF3" w:rsidR="00690B0E" w:rsidRDefault="00690B0E" w:rsidP="00CF0386">
            <w:pPr>
              <w:pStyle w:val="ListParagraph"/>
              <w:numPr>
                <w:ilvl w:val="0"/>
                <w:numId w:val="19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A description </w:t>
            </w:r>
            <w:r w:rsidR="001C0F0C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 xml:space="preserve">what the role does, and </w:t>
            </w:r>
            <w:r w:rsidR="001C0F0C">
              <w:rPr>
                <w:rFonts w:cstheme="minorHAnsi"/>
              </w:rPr>
              <w:t>the sort of person needed for the role.</w:t>
            </w:r>
          </w:p>
          <w:p w14:paraId="512666A7" w14:textId="77777777" w:rsidR="001C0F0C" w:rsidRDefault="00246E54" w:rsidP="00CF0386">
            <w:pPr>
              <w:pStyle w:val="ListParagraph"/>
              <w:numPr>
                <w:ilvl w:val="0"/>
                <w:numId w:val="19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The organisation’s commitment to safeguarding children,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  <w:r>
              <w:rPr>
                <w:rFonts w:cstheme="minorHAnsi"/>
              </w:rPr>
              <w:t xml:space="preserve"> and vulnerable adults. </w:t>
            </w:r>
          </w:p>
          <w:p w14:paraId="595264EE" w14:textId="6D3422CF" w:rsidR="00E860B5" w:rsidRPr="00690B0E" w:rsidRDefault="00E860B5" w:rsidP="00CF0386">
            <w:pPr>
              <w:pStyle w:val="ListParagraph"/>
              <w:numPr>
                <w:ilvl w:val="0"/>
                <w:numId w:val="19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The assessed level of DBS check required. </w:t>
            </w:r>
          </w:p>
        </w:tc>
        <w:tc>
          <w:tcPr>
            <w:tcW w:w="720" w:type="dxa"/>
            <w:vAlign w:val="center"/>
          </w:tcPr>
          <w:p w14:paraId="48F6F2E6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4D145BC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3AE2B6E9" w14:textId="77777777" w:rsidTr="00754326">
        <w:trPr>
          <w:trHeight w:val="850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27D4916" w14:textId="5851C8DC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Advertising a Role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10D6D307" w14:textId="6CDFBB5E" w:rsidR="002B3C44" w:rsidRPr="00C94D69" w:rsidRDefault="00A824A1" w:rsidP="002B3C44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dverts/notices for roles working with children, young people and/or vulnerable adults </w:t>
            </w:r>
            <w:r w:rsidR="004F0B85">
              <w:rPr>
                <w:rFonts w:cstheme="minorHAnsi"/>
              </w:rPr>
              <w:t>highlight the essential requirements</w:t>
            </w:r>
            <w:r w:rsidR="005E22C5">
              <w:rPr>
                <w:rFonts w:cstheme="minorHAnsi"/>
              </w:rPr>
              <w:t xml:space="preserve"> for the role, the required checks (including the appropriate level </w:t>
            </w:r>
            <w:r w:rsidR="002B3C44">
              <w:rPr>
                <w:rFonts w:cstheme="minorHAnsi"/>
              </w:rPr>
              <w:t xml:space="preserve">of DBS) and </w:t>
            </w:r>
            <w:r w:rsidRPr="00C94D69">
              <w:rPr>
                <w:rFonts w:cstheme="minorHAnsi"/>
              </w:rPr>
              <w:t xml:space="preserve">the </w:t>
            </w:r>
            <w:r w:rsidR="002B3C44">
              <w:rPr>
                <w:rFonts w:cstheme="minorHAnsi"/>
              </w:rPr>
              <w:t xml:space="preserve">organisation’s </w:t>
            </w:r>
            <w:r w:rsidRPr="00C94D69">
              <w:rPr>
                <w:rFonts w:cstheme="minorHAnsi"/>
              </w:rPr>
              <w:t>safeguarding statement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1C6A66F2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38FC1C9E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524D34F6" w14:textId="77777777" w:rsidTr="00754326">
        <w:trPr>
          <w:trHeight w:val="1134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67D0A490" w14:textId="6A217600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lastRenderedPageBreak/>
              <w:t>Application Process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7E70B9EF" w14:textId="50F1EFBB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94D69">
              <w:rPr>
                <w:rFonts w:cstheme="minorHAnsi"/>
              </w:rPr>
              <w:t>tandard application form</w:t>
            </w:r>
            <w:r>
              <w:rPr>
                <w:rFonts w:cstheme="minorHAnsi"/>
              </w:rPr>
              <w:t>s</w:t>
            </w:r>
            <w:r w:rsidRPr="00C94D69">
              <w:rPr>
                <w:rFonts w:cstheme="minorHAnsi"/>
              </w:rPr>
              <w:t xml:space="preserve"> that use plain language and asks for all relevant information</w:t>
            </w:r>
            <w:r>
              <w:rPr>
                <w:rFonts w:cstheme="minorHAnsi"/>
              </w:rPr>
              <w:t xml:space="preserve"> are used.</w:t>
            </w:r>
            <w:r w:rsidR="00D82612">
              <w:rPr>
                <w:rFonts w:cstheme="minorHAnsi"/>
              </w:rPr>
              <w:t xml:space="preserve"> </w:t>
            </w:r>
            <w:r w:rsidR="00B62C62">
              <w:rPr>
                <w:rFonts w:cstheme="minorHAnsi"/>
              </w:rPr>
              <w:t>Applicants are given access to the organisation’s commitment to safeguarding, a copy of the role description/person specification</w:t>
            </w:r>
            <w:r w:rsidR="00F15B09">
              <w:rPr>
                <w:rFonts w:cstheme="minorHAnsi"/>
              </w:rPr>
              <w:t xml:space="preserve">, how they would be selected, a relevant privacy notice and the level of DBS check required. </w:t>
            </w:r>
          </w:p>
        </w:tc>
        <w:tc>
          <w:tcPr>
            <w:tcW w:w="720" w:type="dxa"/>
            <w:vAlign w:val="center"/>
          </w:tcPr>
          <w:p w14:paraId="459A0D12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1F44022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64299EA3" w14:textId="77777777" w:rsidTr="00754326">
        <w:trPr>
          <w:trHeight w:val="567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6284343C" w14:textId="40B64E9E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Confidential Declaration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7120A305" w14:textId="23A484CD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If an enhanced (with/without barred list) DBS check is required for a role, applicants complete the Church of England Confidential Declaration form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0C1AF5AC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014F8EE5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4D112DD2" w14:textId="77777777" w:rsidTr="00754326">
        <w:trPr>
          <w:trHeight w:val="850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968707C" w14:textId="154F61F5" w:rsidR="00A824A1" w:rsidRPr="00C94D69" w:rsidRDefault="00BB3549" w:rsidP="004A46F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Shortlisting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7E3CBC0" w14:textId="694CF5CC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C94D69">
              <w:rPr>
                <w:rFonts w:cstheme="minorHAnsi"/>
              </w:rPr>
              <w:t>hortlisting panels</w:t>
            </w:r>
            <w:r w:rsidR="00BB3549">
              <w:rPr>
                <w:rFonts w:cstheme="minorHAnsi"/>
              </w:rPr>
              <w:t xml:space="preserve"> (at least two people)</w:t>
            </w:r>
            <w:r w:rsidRPr="00C94D69">
              <w:rPr>
                <w:rFonts w:cstheme="minorHAnsi"/>
              </w:rPr>
              <w:t xml:space="preserve"> review the role description/person specification, together with the application, for each applicant</w:t>
            </w:r>
            <w:r w:rsidR="00155069">
              <w:rPr>
                <w:rFonts w:cstheme="minorHAnsi"/>
              </w:rPr>
              <w:t xml:space="preserve"> and ensure the application forms are properly scrutinised, identifying any gaps or inconsistencies. </w:t>
            </w:r>
          </w:p>
        </w:tc>
        <w:tc>
          <w:tcPr>
            <w:tcW w:w="720" w:type="dxa"/>
            <w:vAlign w:val="center"/>
          </w:tcPr>
          <w:p w14:paraId="690C504B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1871492E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3D2F4D34" w14:textId="77777777" w:rsidTr="00754326">
        <w:trPr>
          <w:trHeight w:val="1701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3F15745" w14:textId="60F584E1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Interviews and Assessment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6E3B975" w14:textId="050315BE" w:rsidR="00A824A1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I</w:t>
            </w:r>
            <w:r w:rsidRPr="00C94D69">
              <w:rPr>
                <w:rFonts w:cstheme="minorHAnsi"/>
              </w:rPr>
              <w:t xml:space="preserve">nterviews </w:t>
            </w:r>
            <w:r>
              <w:rPr>
                <w:rFonts w:cstheme="minorHAnsi"/>
              </w:rPr>
              <w:t xml:space="preserve">are </w:t>
            </w:r>
            <w:r w:rsidRPr="00C94D69">
              <w:rPr>
                <w:rFonts w:cstheme="minorHAnsi"/>
              </w:rPr>
              <w:t xml:space="preserve">carried out face to face (including virtually) and by at least </w:t>
            </w:r>
            <w:r>
              <w:rPr>
                <w:rFonts w:cstheme="minorHAnsi"/>
              </w:rPr>
              <w:t>two</w:t>
            </w:r>
            <w:r w:rsidRPr="00C94D69">
              <w:rPr>
                <w:rFonts w:cstheme="minorHAnsi"/>
              </w:rPr>
              <w:t xml:space="preserve"> people</w:t>
            </w:r>
            <w:r>
              <w:rPr>
                <w:rFonts w:cstheme="minorHAnsi"/>
              </w:rPr>
              <w:t>.</w:t>
            </w:r>
            <w:r w:rsidR="00890BDB">
              <w:rPr>
                <w:rFonts w:cstheme="minorHAnsi"/>
              </w:rPr>
              <w:t xml:space="preserve"> They ensure that:</w:t>
            </w:r>
          </w:p>
          <w:p w14:paraId="1AF64851" w14:textId="77777777" w:rsidR="00890BDB" w:rsidRDefault="00890BDB" w:rsidP="003253BE">
            <w:pPr>
              <w:pStyle w:val="ListParagraph"/>
              <w:numPr>
                <w:ilvl w:val="0"/>
                <w:numId w:val="20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>The same information is asked of each candidate.</w:t>
            </w:r>
          </w:p>
          <w:p w14:paraId="0558F4D3" w14:textId="77777777" w:rsidR="00890BDB" w:rsidRDefault="002F6F75" w:rsidP="003253BE">
            <w:pPr>
              <w:pStyle w:val="ListParagraph"/>
              <w:numPr>
                <w:ilvl w:val="0"/>
                <w:numId w:val="20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The candidate’s attitudes and values towards safeguarding and promoting the welfare of children, young </w:t>
            </w:r>
            <w:proofErr w:type="gramStart"/>
            <w:r>
              <w:rPr>
                <w:rFonts w:cstheme="minorHAnsi"/>
              </w:rPr>
              <w:t>people</w:t>
            </w:r>
            <w:proofErr w:type="gramEnd"/>
            <w:r>
              <w:rPr>
                <w:rFonts w:cstheme="minorHAnsi"/>
              </w:rPr>
              <w:t xml:space="preserve"> and vulnerable adults.</w:t>
            </w:r>
          </w:p>
          <w:p w14:paraId="667966A7" w14:textId="3E8511E4" w:rsidR="002F6F75" w:rsidRPr="00890BDB" w:rsidRDefault="008D3153" w:rsidP="003253BE">
            <w:pPr>
              <w:pStyle w:val="ListParagraph"/>
              <w:numPr>
                <w:ilvl w:val="0"/>
                <w:numId w:val="20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Any identified gaps or inconsistencies </w:t>
            </w:r>
            <w:r w:rsidR="00F6419F">
              <w:rPr>
                <w:rFonts w:cstheme="minorHAnsi"/>
              </w:rPr>
              <w:t xml:space="preserve">are addressed. </w:t>
            </w:r>
          </w:p>
        </w:tc>
        <w:tc>
          <w:tcPr>
            <w:tcW w:w="720" w:type="dxa"/>
            <w:vAlign w:val="center"/>
          </w:tcPr>
          <w:p w14:paraId="5A6402E3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9CF9FB9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1BBA5904" w14:textId="77777777" w:rsidTr="00754326">
        <w:trPr>
          <w:trHeight w:val="1417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4CD7F185" w14:textId="1C779A44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Pre-Appointment Checks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09D64E8D" w14:textId="77777777" w:rsidR="00A824A1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ll appropriate checks including proof of identity, right to work (employees) and qualifications (if relevant) </w:t>
            </w:r>
            <w:r>
              <w:rPr>
                <w:rFonts w:cstheme="minorHAnsi"/>
              </w:rPr>
              <w:t xml:space="preserve">are carried out </w:t>
            </w:r>
            <w:r w:rsidRPr="00C94D69">
              <w:rPr>
                <w:rFonts w:cstheme="minorHAnsi"/>
              </w:rPr>
              <w:t>on candidates</w:t>
            </w:r>
            <w:r>
              <w:rPr>
                <w:rFonts w:cstheme="minorHAnsi"/>
              </w:rPr>
              <w:t>.</w:t>
            </w:r>
            <w:r w:rsidR="003805C2">
              <w:rPr>
                <w:rFonts w:cstheme="minorHAnsi"/>
              </w:rPr>
              <w:t xml:space="preserve"> These checks ensure that:</w:t>
            </w:r>
          </w:p>
          <w:p w14:paraId="16FD0389" w14:textId="77777777" w:rsidR="003805C2" w:rsidRDefault="003805C2" w:rsidP="00B2407D">
            <w:pPr>
              <w:pStyle w:val="ListParagraph"/>
              <w:numPr>
                <w:ilvl w:val="0"/>
                <w:numId w:val="21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>Original documents are viewed.</w:t>
            </w:r>
          </w:p>
          <w:p w14:paraId="6B39B3C7" w14:textId="77777777" w:rsidR="003805C2" w:rsidRDefault="003805C2" w:rsidP="00B2407D">
            <w:pPr>
              <w:pStyle w:val="ListParagraph"/>
              <w:numPr>
                <w:ilvl w:val="0"/>
                <w:numId w:val="21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>All relevant references are requested.</w:t>
            </w:r>
          </w:p>
          <w:p w14:paraId="643067A8" w14:textId="44DFE087" w:rsidR="003805C2" w:rsidRPr="003805C2" w:rsidRDefault="00983CB4" w:rsidP="00B2407D">
            <w:pPr>
              <w:pStyle w:val="ListParagraph"/>
              <w:numPr>
                <w:ilvl w:val="0"/>
                <w:numId w:val="21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All information given </w:t>
            </w:r>
            <w:r w:rsidR="00B2407D">
              <w:rPr>
                <w:rFonts w:cstheme="minorHAnsi"/>
              </w:rPr>
              <w:t xml:space="preserve">are checked for gaps and inconsistencies. </w:t>
            </w:r>
          </w:p>
        </w:tc>
        <w:tc>
          <w:tcPr>
            <w:tcW w:w="720" w:type="dxa"/>
            <w:vAlign w:val="center"/>
          </w:tcPr>
          <w:p w14:paraId="300594CA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6129CD6A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59B2BBF7" w14:textId="77777777" w:rsidTr="00754326">
        <w:trPr>
          <w:trHeight w:val="567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358DC0C2" w14:textId="3981AD0B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Disclosure and Barring Service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3FA6186" w14:textId="5FCB2221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If a candidate is successful at interview, the appropriate level of DBS check is applied for/Update Service is accessed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577C1D5B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F7F176E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57020726" w14:textId="77777777" w:rsidTr="00754326">
        <w:trPr>
          <w:trHeight w:val="567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212B56CE" w14:textId="1F661073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Criminal Records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8D4D3EE" w14:textId="0F12B8C1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 w:rsidRPr="00C94D69">
              <w:rPr>
                <w:rFonts w:cstheme="minorHAnsi"/>
              </w:rPr>
              <w:t>If concerns arise from a Confidential Declaration Form or DBS certificate, a process</w:t>
            </w:r>
            <w:r>
              <w:rPr>
                <w:rFonts w:cstheme="minorHAnsi"/>
              </w:rPr>
              <w:t xml:space="preserve"> is in place</w:t>
            </w:r>
            <w:r w:rsidRPr="00C94D69">
              <w:rPr>
                <w:rFonts w:cstheme="minorHAnsi"/>
              </w:rPr>
              <w:t xml:space="preserve"> for seeking advice and support from the relevant members of the Safeguarding or HR team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07D31580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7EC8047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21F82ECB" w14:textId="77777777" w:rsidTr="00754326">
        <w:trPr>
          <w:trHeight w:val="567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32D1421E" w14:textId="12B860F0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Appointment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48A39F9" w14:textId="7A2F4C88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ll appointments </w:t>
            </w:r>
            <w:r>
              <w:rPr>
                <w:rFonts w:cstheme="minorHAnsi"/>
              </w:rPr>
              <w:t xml:space="preserve">are </w:t>
            </w:r>
            <w:r w:rsidRPr="00C94D69">
              <w:rPr>
                <w:rFonts w:cstheme="minorHAnsi"/>
              </w:rPr>
              <w:t>made subject to the completion of satisfactory pre-appointment checks</w:t>
            </w:r>
            <w:r w:rsidR="002A0CF9">
              <w:rPr>
                <w:rFonts w:cstheme="minorHAnsi"/>
              </w:rPr>
              <w:t xml:space="preserve"> and people do not start their role until </w:t>
            </w:r>
            <w:r w:rsidR="002216F8">
              <w:rPr>
                <w:rFonts w:cstheme="minorHAnsi"/>
              </w:rPr>
              <w:t xml:space="preserve">these are satisfactorily completed. </w:t>
            </w:r>
          </w:p>
        </w:tc>
        <w:tc>
          <w:tcPr>
            <w:tcW w:w="720" w:type="dxa"/>
            <w:vAlign w:val="center"/>
          </w:tcPr>
          <w:p w14:paraId="65DED21B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302F4F0B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1D3AB57C" w14:textId="77777777" w:rsidTr="00754326">
        <w:trPr>
          <w:trHeight w:val="850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7E23F116" w14:textId="77777777" w:rsidR="00A824A1" w:rsidRPr="00C94D69" w:rsidRDefault="00A824A1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</w:tcPr>
          <w:p w14:paraId="3DE01FBD" w14:textId="083D50F2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ll individuals </w:t>
            </w:r>
            <w:r>
              <w:rPr>
                <w:rFonts w:cstheme="minorHAnsi"/>
              </w:rPr>
              <w:t xml:space="preserve">are </w:t>
            </w:r>
            <w:r w:rsidRPr="00C94D69">
              <w:rPr>
                <w:rFonts w:cstheme="minorHAnsi"/>
              </w:rPr>
              <w:t>provided with an employment contract or volunteer agreement</w:t>
            </w:r>
            <w:r w:rsidR="00FE6119">
              <w:rPr>
                <w:rFonts w:cstheme="minorHAnsi"/>
              </w:rPr>
              <w:t xml:space="preserve"> </w:t>
            </w:r>
            <w:r w:rsidR="005B50DA">
              <w:rPr>
                <w:rFonts w:cstheme="minorHAnsi"/>
              </w:rPr>
              <w:t xml:space="preserve">and given access to relevant documentation or written statements and required to sign to confirm they have read, </w:t>
            </w:r>
            <w:proofErr w:type="gramStart"/>
            <w:r w:rsidR="005B50DA">
              <w:rPr>
                <w:rFonts w:cstheme="minorHAnsi"/>
              </w:rPr>
              <w:t>understood</w:t>
            </w:r>
            <w:proofErr w:type="gramEnd"/>
            <w:r w:rsidR="005B50DA">
              <w:rPr>
                <w:rFonts w:cstheme="minorHAnsi"/>
              </w:rPr>
              <w:t xml:space="preserve"> and agree to them. 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5A2E6AA1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1BD7B94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7265FF7F" w14:textId="77777777" w:rsidTr="00754326">
        <w:trPr>
          <w:trHeight w:val="2268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0C6BB4C" w14:textId="18641A1A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lastRenderedPageBreak/>
              <w:t>Induction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5128FB22" w14:textId="77777777" w:rsidR="00A824A1" w:rsidRDefault="00A824A1" w:rsidP="00FD107E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An</w:t>
            </w:r>
            <w:r w:rsidRPr="00C94D69">
              <w:rPr>
                <w:rFonts w:cstheme="minorHAnsi"/>
              </w:rPr>
              <w:t xml:space="preserve"> appropriate induction process</w:t>
            </w:r>
            <w:r>
              <w:rPr>
                <w:rFonts w:cstheme="minorHAnsi"/>
              </w:rPr>
              <w:t xml:space="preserve"> is</w:t>
            </w:r>
            <w:r w:rsidRPr="00C94D69">
              <w:rPr>
                <w:rFonts w:cstheme="minorHAnsi"/>
              </w:rPr>
              <w:t xml:space="preserve"> in place for each role</w:t>
            </w:r>
            <w:r>
              <w:rPr>
                <w:rFonts w:cstheme="minorHAnsi"/>
              </w:rPr>
              <w:t>.</w:t>
            </w:r>
            <w:r w:rsidR="00CE7C1E">
              <w:rPr>
                <w:rFonts w:cstheme="minorHAnsi"/>
              </w:rPr>
              <w:t xml:space="preserve"> Which includes:</w:t>
            </w:r>
          </w:p>
          <w:p w14:paraId="682BCB68" w14:textId="77777777" w:rsidR="00CE7C1E" w:rsidRDefault="00CE7C1E" w:rsidP="00D16AA4">
            <w:pPr>
              <w:pStyle w:val="ListParagraph"/>
              <w:numPr>
                <w:ilvl w:val="0"/>
                <w:numId w:val="22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>All mandatory safeguarding training relevant to the role.</w:t>
            </w:r>
          </w:p>
          <w:p w14:paraId="3AD852C5" w14:textId="77777777" w:rsidR="00CE7C1E" w:rsidRDefault="0088671C" w:rsidP="00D16AA4">
            <w:pPr>
              <w:pStyle w:val="ListParagraph"/>
              <w:numPr>
                <w:ilvl w:val="0"/>
                <w:numId w:val="22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>Information about your organisation’s safeguarding policies and procedures, including who to report concerns to.</w:t>
            </w:r>
          </w:p>
          <w:p w14:paraId="7D17BF51" w14:textId="77777777" w:rsidR="00C1563A" w:rsidRDefault="00C1563A" w:rsidP="00D16AA4">
            <w:pPr>
              <w:pStyle w:val="ListParagraph"/>
              <w:numPr>
                <w:ilvl w:val="0"/>
                <w:numId w:val="22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Safeguarding responsibilities </w:t>
            </w:r>
            <w:r w:rsidR="00D16AA4">
              <w:rPr>
                <w:rFonts w:cstheme="minorHAnsi"/>
              </w:rPr>
              <w:t>and clear expectations for the role.</w:t>
            </w:r>
          </w:p>
          <w:p w14:paraId="008EB10D" w14:textId="77777777" w:rsidR="00D16AA4" w:rsidRDefault="00D16AA4" w:rsidP="00D16AA4">
            <w:pPr>
              <w:pStyle w:val="ListParagraph"/>
              <w:numPr>
                <w:ilvl w:val="0"/>
                <w:numId w:val="22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>Arrangements for ongoing support.</w:t>
            </w:r>
          </w:p>
          <w:p w14:paraId="5D164566" w14:textId="6F7E8FE4" w:rsidR="00D16AA4" w:rsidRPr="00CE7C1E" w:rsidRDefault="00D16AA4" w:rsidP="00D16AA4">
            <w:pPr>
              <w:pStyle w:val="ListParagraph"/>
              <w:numPr>
                <w:ilvl w:val="0"/>
                <w:numId w:val="22"/>
              </w:numPr>
              <w:ind w:left="40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One-to-one meeting(s) with the person who has ongoing responsibility for supporting the individual. </w:t>
            </w:r>
          </w:p>
        </w:tc>
        <w:tc>
          <w:tcPr>
            <w:tcW w:w="720" w:type="dxa"/>
            <w:vAlign w:val="center"/>
          </w:tcPr>
          <w:p w14:paraId="3A714D5F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27B1FDE5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2A2CD776" w14:textId="77777777" w:rsidTr="00754326">
        <w:trPr>
          <w:trHeight w:val="850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56F5AB72" w14:textId="5ABDBCA7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Probation / Settling-In Period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20BDEEDC" w14:textId="46C737A9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ll employment appointments </w:t>
            </w:r>
            <w:r>
              <w:rPr>
                <w:rFonts w:cstheme="minorHAnsi"/>
              </w:rPr>
              <w:t xml:space="preserve">are </w:t>
            </w:r>
            <w:r w:rsidRPr="00C94D69">
              <w:rPr>
                <w:rFonts w:cstheme="minorHAnsi"/>
              </w:rPr>
              <w:t>made subject to a probationary period</w:t>
            </w:r>
            <w:r w:rsidR="00FE0650">
              <w:rPr>
                <w:rFonts w:cstheme="minorHAnsi"/>
              </w:rPr>
              <w:t xml:space="preserve"> and Volunteers have a ‘settling in’ period. During this per</w:t>
            </w:r>
            <w:r w:rsidR="00441BB3">
              <w:rPr>
                <w:rFonts w:cstheme="minorHAnsi"/>
              </w:rPr>
              <w:t xml:space="preserve">iod, the individual is directly observed at appropriate times. </w:t>
            </w:r>
          </w:p>
        </w:tc>
        <w:tc>
          <w:tcPr>
            <w:tcW w:w="720" w:type="dxa"/>
            <w:vAlign w:val="center"/>
          </w:tcPr>
          <w:p w14:paraId="31811F00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18F1BDD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49DF83BA" w14:textId="77777777" w:rsidTr="00754326">
        <w:trPr>
          <w:trHeight w:val="340"/>
        </w:trPr>
        <w:tc>
          <w:tcPr>
            <w:tcW w:w="2096" w:type="dxa"/>
            <w:vMerge w:val="restart"/>
            <w:shd w:val="clear" w:color="auto" w:fill="F2F2F2" w:themeFill="background1" w:themeFillShade="F2"/>
            <w:vAlign w:val="center"/>
          </w:tcPr>
          <w:p w14:paraId="03C78FC9" w14:textId="340AB00B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Ongoing Support, Accountability, Oversight and Supervision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51B20F98" w14:textId="1AAC8425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C94D69">
              <w:rPr>
                <w:rFonts w:cstheme="minorHAnsi"/>
              </w:rPr>
              <w:t xml:space="preserve">egular one-to-one or supervision meetings with individuals </w:t>
            </w:r>
            <w:r>
              <w:rPr>
                <w:rFonts w:cstheme="minorHAnsi"/>
              </w:rPr>
              <w:t xml:space="preserve">are </w:t>
            </w:r>
            <w:r w:rsidRPr="00C94D69">
              <w:rPr>
                <w:rFonts w:cstheme="minorHAnsi"/>
              </w:rPr>
              <w:t>carried out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370D12A3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0B90B795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7AA24E3F" w14:textId="77777777" w:rsidTr="00754326">
        <w:trPr>
          <w:trHeight w:val="907"/>
        </w:trPr>
        <w:tc>
          <w:tcPr>
            <w:tcW w:w="2096" w:type="dxa"/>
            <w:vMerge/>
            <w:shd w:val="clear" w:color="auto" w:fill="F2F2F2" w:themeFill="background1" w:themeFillShade="F2"/>
            <w:vAlign w:val="center"/>
          </w:tcPr>
          <w:p w14:paraId="2BA58E41" w14:textId="77777777" w:rsidR="00A824A1" w:rsidRPr="00C94D69" w:rsidRDefault="00A824A1" w:rsidP="004A46FA">
            <w:pPr>
              <w:jc w:val="center"/>
              <w:rPr>
                <w:rFonts w:cstheme="minorHAnsi"/>
              </w:rPr>
            </w:pPr>
          </w:p>
        </w:tc>
        <w:tc>
          <w:tcPr>
            <w:tcW w:w="8187" w:type="dxa"/>
            <w:shd w:val="clear" w:color="auto" w:fill="F2F2F2" w:themeFill="background1" w:themeFillShade="F2"/>
          </w:tcPr>
          <w:p w14:paraId="3A92EF37" w14:textId="1B2246DC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C94D69">
              <w:rPr>
                <w:rFonts w:cstheme="minorHAnsi"/>
              </w:rPr>
              <w:t xml:space="preserve">lear policies and procedures </w:t>
            </w:r>
            <w:r>
              <w:rPr>
                <w:rFonts w:cstheme="minorHAnsi"/>
              </w:rPr>
              <w:t xml:space="preserve">are </w:t>
            </w:r>
            <w:r w:rsidRPr="00C94D69">
              <w:rPr>
                <w:rFonts w:cstheme="minorHAnsi"/>
              </w:rPr>
              <w:t xml:space="preserve">in place </w:t>
            </w:r>
            <w:r>
              <w:rPr>
                <w:rFonts w:cstheme="minorHAnsi"/>
              </w:rPr>
              <w:t>that</w:t>
            </w:r>
            <w:r w:rsidRPr="00C94D69">
              <w:rPr>
                <w:rFonts w:cstheme="minorHAnsi"/>
              </w:rPr>
              <w:t xml:space="preserve"> explain what individuals should do if they have concerns about the behaviour of another team member or others within your </w:t>
            </w:r>
            <w:r>
              <w:rPr>
                <w:rFonts w:cstheme="minorHAnsi"/>
              </w:rPr>
              <w:t>organisation</w:t>
            </w:r>
            <w:r w:rsidR="0060071B">
              <w:rPr>
                <w:rFonts w:cstheme="minorHAnsi"/>
              </w:rPr>
              <w:t xml:space="preserve"> and any allegations are responded to quickly and appropriately. </w:t>
            </w:r>
          </w:p>
        </w:tc>
        <w:tc>
          <w:tcPr>
            <w:tcW w:w="720" w:type="dxa"/>
            <w:vAlign w:val="center"/>
          </w:tcPr>
          <w:p w14:paraId="31EFDA09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598C68EE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71C7A15C" w14:textId="77777777" w:rsidTr="00754326">
        <w:trPr>
          <w:trHeight w:val="340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5A7951D" w14:textId="4146625D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Learning and Development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4EC664CD" w14:textId="4B39DB6E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94D69">
              <w:rPr>
                <w:rFonts w:cstheme="minorHAnsi"/>
              </w:rPr>
              <w:t xml:space="preserve">ll mandatory safeguarding training </w:t>
            </w:r>
            <w:r>
              <w:rPr>
                <w:rFonts w:cstheme="minorHAnsi"/>
              </w:rPr>
              <w:t xml:space="preserve">is </w:t>
            </w:r>
            <w:r w:rsidRPr="00C94D69">
              <w:rPr>
                <w:rFonts w:cstheme="minorHAnsi"/>
              </w:rPr>
              <w:t>kept up to date and refreshers</w:t>
            </w:r>
            <w:r>
              <w:rPr>
                <w:rFonts w:cstheme="minorHAnsi"/>
              </w:rPr>
              <w:t xml:space="preserve"> are</w:t>
            </w:r>
            <w:r w:rsidRPr="00C94D69">
              <w:rPr>
                <w:rFonts w:cstheme="minorHAnsi"/>
              </w:rPr>
              <w:t xml:space="preserve"> monitored</w:t>
            </w:r>
            <w:r>
              <w:rPr>
                <w:rFonts w:cstheme="minorHAnsi"/>
              </w:rPr>
              <w:t>.</w:t>
            </w:r>
          </w:p>
        </w:tc>
        <w:tc>
          <w:tcPr>
            <w:tcW w:w="720" w:type="dxa"/>
            <w:vAlign w:val="center"/>
          </w:tcPr>
          <w:p w14:paraId="2C15F021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60A9EBCA" w14:textId="77777777" w:rsidR="00A824A1" w:rsidRDefault="00A824A1" w:rsidP="00874A67">
            <w:pPr>
              <w:rPr>
                <w:rFonts w:cstheme="minorHAnsi"/>
              </w:rPr>
            </w:pPr>
          </w:p>
        </w:tc>
      </w:tr>
      <w:tr w:rsidR="00A824A1" w14:paraId="289743AA" w14:textId="77777777" w:rsidTr="00754326">
        <w:trPr>
          <w:trHeight w:val="567"/>
        </w:trPr>
        <w:tc>
          <w:tcPr>
            <w:tcW w:w="2096" w:type="dxa"/>
            <w:shd w:val="clear" w:color="auto" w:fill="F2F2F2" w:themeFill="background1" w:themeFillShade="F2"/>
            <w:vAlign w:val="center"/>
          </w:tcPr>
          <w:p w14:paraId="0F769D73" w14:textId="0703A2E4" w:rsidR="00A824A1" w:rsidRPr="00C94D69" w:rsidRDefault="00A824A1" w:rsidP="004A46FA">
            <w:pPr>
              <w:jc w:val="center"/>
              <w:rPr>
                <w:rFonts w:cstheme="minorHAnsi"/>
              </w:rPr>
            </w:pPr>
            <w:r w:rsidRPr="00C94D69">
              <w:rPr>
                <w:rFonts w:cstheme="minorHAnsi"/>
              </w:rPr>
              <w:t>Record Keeping</w:t>
            </w:r>
          </w:p>
        </w:tc>
        <w:tc>
          <w:tcPr>
            <w:tcW w:w="8187" w:type="dxa"/>
            <w:shd w:val="clear" w:color="auto" w:fill="F2F2F2" w:themeFill="background1" w:themeFillShade="F2"/>
          </w:tcPr>
          <w:p w14:paraId="409A1A5A" w14:textId="02A42F5A" w:rsidR="00A824A1" w:rsidRPr="00C94D69" w:rsidRDefault="00A824A1" w:rsidP="00AA5AA5">
            <w:pPr>
              <w:ind w:left="40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Pr="00C94D69">
              <w:rPr>
                <w:rFonts w:cstheme="minorHAnsi"/>
              </w:rPr>
              <w:t>ull records</w:t>
            </w:r>
            <w:r>
              <w:rPr>
                <w:rFonts w:cstheme="minorHAnsi"/>
              </w:rPr>
              <w:t xml:space="preserve"> are kept</w:t>
            </w:r>
            <w:r w:rsidRPr="00C94D69">
              <w:rPr>
                <w:rFonts w:cstheme="minorHAnsi"/>
              </w:rPr>
              <w:t xml:space="preserve"> for everyone working with children, young people and/or vulnerable adults?</w:t>
            </w:r>
          </w:p>
        </w:tc>
        <w:tc>
          <w:tcPr>
            <w:tcW w:w="720" w:type="dxa"/>
            <w:vAlign w:val="center"/>
          </w:tcPr>
          <w:p w14:paraId="72F1D1F9" w14:textId="77777777" w:rsidR="00A824A1" w:rsidRDefault="00A824A1" w:rsidP="00F25DE4">
            <w:pPr>
              <w:jc w:val="center"/>
              <w:rPr>
                <w:rFonts w:cstheme="minorHAnsi"/>
              </w:rPr>
            </w:pPr>
          </w:p>
        </w:tc>
        <w:tc>
          <w:tcPr>
            <w:tcW w:w="2945" w:type="dxa"/>
          </w:tcPr>
          <w:p w14:paraId="42113126" w14:textId="77777777" w:rsidR="00A824A1" w:rsidRDefault="00A824A1" w:rsidP="00874A67">
            <w:pPr>
              <w:rPr>
                <w:rFonts w:cstheme="minorHAnsi"/>
              </w:rPr>
            </w:pPr>
          </w:p>
        </w:tc>
      </w:tr>
    </w:tbl>
    <w:p w14:paraId="2209218D" w14:textId="77777777" w:rsidR="00A37A16" w:rsidRDefault="00A37A16" w:rsidP="004A46FA">
      <w:pPr>
        <w:rPr>
          <w:rFonts w:cstheme="minorHAnsi"/>
        </w:rPr>
      </w:pPr>
    </w:p>
    <w:sectPr w:rsidR="00A37A16" w:rsidSect="002E66B4">
      <w:headerReference w:type="default" r:id="rId8"/>
      <w:footerReference w:type="default" r:id="rId9"/>
      <w:headerReference w:type="firs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8582" w14:textId="77777777" w:rsidR="00A6097B" w:rsidRDefault="00A6097B" w:rsidP="00A37A16">
      <w:pPr>
        <w:spacing w:after="0" w:line="240" w:lineRule="auto"/>
      </w:pPr>
      <w:r>
        <w:separator/>
      </w:r>
    </w:p>
  </w:endnote>
  <w:endnote w:type="continuationSeparator" w:id="0">
    <w:p w14:paraId="554A0B33" w14:textId="77777777" w:rsidR="00A6097B" w:rsidRDefault="00A6097B" w:rsidP="00A3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0CD66" w14:textId="77777777" w:rsidR="00E11678" w:rsidRDefault="00F315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E49320" w14:textId="77777777" w:rsidR="00E11678" w:rsidRDefault="00E116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46D0" w14:textId="77777777" w:rsidR="00A6097B" w:rsidRDefault="00A6097B" w:rsidP="00A37A16">
      <w:pPr>
        <w:spacing w:after="0" w:line="240" w:lineRule="auto"/>
      </w:pPr>
      <w:r>
        <w:separator/>
      </w:r>
    </w:p>
  </w:footnote>
  <w:footnote w:type="continuationSeparator" w:id="0">
    <w:p w14:paraId="6A004677" w14:textId="77777777" w:rsidR="00A6097B" w:rsidRDefault="00A6097B" w:rsidP="00A3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F851B" w14:textId="5E65FB8B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96FFBC2" wp14:editId="1A89803C">
          <wp:simplePos x="0" y="0"/>
          <wp:positionH relativeFrom="column">
            <wp:posOffset>7169989</wp:posOffset>
          </wp:positionH>
          <wp:positionV relativeFrom="paragraph">
            <wp:posOffset>-166634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2" name="Picture 2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8D45" w14:textId="5439D023" w:rsidR="00A37A16" w:rsidRDefault="00A37A16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8F2BE6F" wp14:editId="4DCED8F9">
          <wp:simplePos x="0" y="0"/>
          <wp:positionH relativeFrom="column">
            <wp:posOffset>4524375</wp:posOffset>
          </wp:positionH>
          <wp:positionV relativeFrom="paragraph">
            <wp:posOffset>-143510</wp:posOffset>
          </wp:positionV>
          <wp:extent cx="1706245" cy="346075"/>
          <wp:effectExtent l="0" t="0" r="8255" b="0"/>
          <wp:wrapTight wrapText="bothSides">
            <wp:wrapPolygon edited="0">
              <wp:start x="723" y="0"/>
              <wp:lineTo x="0" y="3567"/>
              <wp:lineTo x="0" y="16646"/>
              <wp:lineTo x="723" y="20213"/>
              <wp:lineTo x="21463" y="20213"/>
              <wp:lineTo x="21463" y="0"/>
              <wp:lineTo x="723" y="0"/>
            </wp:wrapPolygon>
          </wp:wrapTight>
          <wp:docPr id="3" name="Picture 3" descr="St Andrew's Church, Stapleford : About 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 Andrew's Church, Stapleford : About 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27A2"/>
    <w:multiLevelType w:val="hybridMultilevel"/>
    <w:tmpl w:val="3B741D7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54E3CCD"/>
    <w:multiLevelType w:val="hybridMultilevel"/>
    <w:tmpl w:val="4F8896C6"/>
    <w:lvl w:ilvl="0" w:tplc="CA3C1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25A"/>
    <w:multiLevelType w:val="hybridMultilevel"/>
    <w:tmpl w:val="63622764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0C0F5A96"/>
    <w:multiLevelType w:val="hybridMultilevel"/>
    <w:tmpl w:val="4D1C7A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82D68"/>
    <w:multiLevelType w:val="hybridMultilevel"/>
    <w:tmpl w:val="58BEF9B8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179019E6"/>
    <w:multiLevelType w:val="hybridMultilevel"/>
    <w:tmpl w:val="9EC44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5CF0"/>
    <w:multiLevelType w:val="hybridMultilevel"/>
    <w:tmpl w:val="64A0D3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A31AE"/>
    <w:multiLevelType w:val="hybridMultilevel"/>
    <w:tmpl w:val="111246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B2088"/>
    <w:multiLevelType w:val="hybridMultilevel"/>
    <w:tmpl w:val="E0BE59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7908"/>
    <w:multiLevelType w:val="hybridMultilevel"/>
    <w:tmpl w:val="E9026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11258"/>
    <w:multiLevelType w:val="hybridMultilevel"/>
    <w:tmpl w:val="5A2EF0AA"/>
    <w:lvl w:ilvl="0" w:tplc="070EDC9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1559"/>
    <w:multiLevelType w:val="hybridMultilevel"/>
    <w:tmpl w:val="161477EE"/>
    <w:lvl w:ilvl="0" w:tplc="FF6A3AE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F1C09"/>
    <w:multiLevelType w:val="hybridMultilevel"/>
    <w:tmpl w:val="87D2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7D7B"/>
    <w:multiLevelType w:val="hybridMultilevel"/>
    <w:tmpl w:val="F3AC9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D6576D"/>
    <w:multiLevelType w:val="hybridMultilevel"/>
    <w:tmpl w:val="D6D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C361D"/>
    <w:multiLevelType w:val="hybridMultilevel"/>
    <w:tmpl w:val="2CFE5E32"/>
    <w:lvl w:ilvl="0" w:tplc="2C12377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D0E0A"/>
    <w:multiLevelType w:val="hybridMultilevel"/>
    <w:tmpl w:val="08667E2A"/>
    <w:lvl w:ilvl="0" w:tplc="0478E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B7B20"/>
    <w:multiLevelType w:val="hybridMultilevel"/>
    <w:tmpl w:val="77F68A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A7BF9"/>
    <w:multiLevelType w:val="hybridMultilevel"/>
    <w:tmpl w:val="E8AE0D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F4BD4"/>
    <w:multiLevelType w:val="hybridMultilevel"/>
    <w:tmpl w:val="92DEB1BA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361294"/>
    <w:multiLevelType w:val="hybridMultilevel"/>
    <w:tmpl w:val="BADE7174"/>
    <w:lvl w:ilvl="0" w:tplc="9BDCB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C2803"/>
    <w:multiLevelType w:val="hybridMultilevel"/>
    <w:tmpl w:val="6C30E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972815">
    <w:abstractNumId w:val="13"/>
  </w:num>
  <w:num w:numId="2" w16cid:durableId="680815537">
    <w:abstractNumId w:val="9"/>
  </w:num>
  <w:num w:numId="3" w16cid:durableId="770709967">
    <w:abstractNumId w:val="15"/>
  </w:num>
  <w:num w:numId="4" w16cid:durableId="1072193965">
    <w:abstractNumId w:val="10"/>
  </w:num>
  <w:num w:numId="5" w16cid:durableId="2000426369">
    <w:abstractNumId w:val="21"/>
  </w:num>
  <w:num w:numId="6" w16cid:durableId="836074938">
    <w:abstractNumId w:val="11"/>
  </w:num>
  <w:num w:numId="7" w16cid:durableId="648292495">
    <w:abstractNumId w:val="17"/>
  </w:num>
  <w:num w:numId="8" w16cid:durableId="597368541">
    <w:abstractNumId w:val="16"/>
  </w:num>
  <w:num w:numId="9" w16cid:durableId="1001665838">
    <w:abstractNumId w:val="18"/>
  </w:num>
  <w:num w:numId="10" w16cid:durableId="1615550653">
    <w:abstractNumId w:val="6"/>
  </w:num>
  <w:num w:numId="11" w16cid:durableId="391733022">
    <w:abstractNumId w:val="3"/>
  </w:num>
  <w:num w:numId="12" w16cid:durableId="1561939314">
    <w:abstractNumId w:val="14"/>
  </w:num>
  <w:num w:numId="13" w16cid:durableId="1525172046">
    <w:abstractNumId w:val="8"/>
  </w:num>
  <w:num w:numId="14" w16cid:durableId="946306926">
    <w:abstractNumId w:val="5"/>
  </w:num>
  <w:num w:numId="15" w16cid:durableId="2078552832">
    <w:abstractNumId w:val="7"/>
  </w:num>
  <w:num w:numId="16" w16cid:durableId="1039739376">
    <w:abstractNumId w:val="1"/>
  </w:num>
  <w:num w:numId="17" w16cid:durableId="1698773044">
    <w:abstractNumId w:val="20"/>
  </w:num>
  <w:num w:numId="18" w16cid:durableId="1627153517">
    <w:abstractNumId w:val="19"/>
  </w:num>
  <w:num w:numId="19" w16cid:durableId="918558210">
    <w:abstractNumId w:val="2"/>
  </w:num>
  <w:num w:numId="20" w16cid:durableId="204222584">
    <w:abstractNumId w:val="4"/>
  </w:num>
  <w:num w:numId="21" w16cid:durableId="1768042969">
    <w:abstractNumId w:val="0"/>
  </w:num>
  <w:num w:numId="22" w16cid:durableId="18525224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16"/>
    <w:rsid w:val="000030C1"/>
    <w:rsid w:val="00014AE5"/>
    <w:rsid w:val="000304B6"/>
    <w:rsid w:val="00034322"/>
    <w:rsid w:val="00034E1B"/>
    <w:rsid w:val="0009347B"/>
    <w:rsid w:val="000A67D1"/>
    <w:rsid w:val="00107B7B"/>
    <w:rsid w:val="001144F5"/>
    <w:rsid w:val="00136CA1"/>
    <w:rsid w:val="00155069"/>
    <w:rsid w:val="0015606E"/>
    <w:rsid w:val="001A3648"/>
    <w:rsid w:val="001B7D6A"/>
    <w:rsid w:val="001C0F0C"/>
    <w:rsid w:val="001C1C19"/>
    <w:rsid w:val="001C4497"/>
    <w:rsid w:val="001D4228"/>
    <w:rsid w:val="0020361F"/>
    <w:rsid w:val="002216F8"/>
    <w:rsid w:val="00240448"/>
    <w:rsid w:val="002434DE"/>
    <w:rsid w:val="00246E54"/>
    <w:rsid w:val="00281D13"/>
    <w:rsid w:val="002A0CF9"/>
    <w:rsid w:val="002A33AB"/>
    <w:rsid w:val="002B3C44"/>
    <w:rsid w:val="002B64A7"/>
    <w:rsid w:val="002D4045"/>
    <w:rsid w:val="002E396A"/>
    <w:rsid w:val="002E66B4"/>
    <w:rsid w:val="002F2F1C"/>
    <w:rsid w:val="002F6F75"/>
    <w:rsid w:val="00303390"/>
    <w:rsid w:val="00316841"/>
    <w:rsid w:val="003253BE"/>
    <w:rsid w:val="003268A0"/>
    <w:rsid w:val="0035786D"/>
    <w:rsid w:val="00357ECB"/>
    <w:rsid w:val="0037743E"/>
    <w:rsid w:val="003805C2"/>
    <w:rsid w:val="00392816"/>
    <w:rsid w:val="003A7345"/>
    <w:rsid w:val="003C00D8"/>
    <w:rsid w:val="003C5041"/>
    <w:rsid w:val="003D41C4"/>
    <w:rsid w:val="003F41BE"/>
    <w:rsid w:val="0042165B"/>
    <w:rsid w:val="00441BB3"/>
    <w:rsid w:val="00475A2F"/>
    <w:rsid w:val="004A46FA"/>
    <w:rsid w:val="004A5A69"/>
    <w:rsid w:val="004F0B85"/>
    <w:rsid w:val="004F29E6"/>
    <w:rsid w:val="004F434A"/>
    <w:rsid w:val="00501FEF"/>
    <w:rsid w:val="00527C7D"/>
    <w:rsid w:val="00571241"/>
    <w:rsid w:val="00597A5B"/>
    <w:rsid w:val="005B50DA"/>
    <w:rsid w:val="005B67CA"/>
    <w:rsid w:val="005C0F1D"/>
    <w:rsid w:val="005E22C5"/>
    <w:rsid w:val="005E4C77"/>
    <w:rsid w:val="005F79E1"/>
    <w:rsid w:val="0060071B"/>
    <w:rsid w:val="00604CDB"/>
    <w:rsid w:val="00621FEE"/>
    <w:rsid w:val="00636AC6"/>
    <w:rsid w:val="00655571"/>
    <w:rsid w:val="00655C38"/>
    <w:rsid w:val="00660DBB"/>
    <w:rsid w:val="00665FEE"/>
    <w:rsid w:val="00690B0E"/>
    <w:rsid w:val="006D39A0"/>
    <w:rsid w:val="006E5E43"/>
    <w:rsid w:val="006F326C"/>
    <w:rsid w:val="0072348A"/>
    <w:rsid w:val="00743F65"/>
    <w:rsid w:val="00744E19"/>
    <w:rsid w:val="00754326"/>
    <w:rsid w:val="0076457B"/>
    <w:rsid w:val="00795E6B"/>
    <w:rsid w:val="00797E7E"/>
    <w:rsid w:val="007F4703"/>
    <w:rsid w:val="008105EB"/>
    <w:rsid w:val="00811A72"/>
    <w:rsid w:val="0086626E"/>
    <w:rsid w:val="00873A37"/>
    <w:rsid w:val="00874A67"/>
    <w:rsid w:val="0088144B"/>
    <w:rsid w:val="00881BD0"/>
    <w:rsid w:val="008837A6"/>
    <w:rsid w:val="0088671C"/>
    <w:rsid w:val="00890BDB"/>
    <w:rsid w:val="00897FCB"/>
    <w:rsid w:val="008B4736"/>
    <w:rsid w:val="008C005D"/>
    <w:rsid w:val="008C45F9"/>
    <w:rsid w:val="008D0682"/>
    <w:rsid w:val="008D3153"/>
    <w:rsid w:val="008D34D5"/>
    <w:rsid w:val="00902155"/>
    <w:rsid w:val="00906916"/>
    <w:rsid w:val="00911750"/>
    <w:rsid w:val="00920D4E"/>
    <w:rsid w:val="009349DD"/>
    <w:rsid w:val="00983CB4"/>
    <w:rsid w:val="009A141A"/>
    <w:rsid w:val="009B4CF2"/>
    <w:rsid w:val="00A2150E"/>
    <w:rsid w:val="00A37A16"/>
    <w:rsid w:val="00A43278"/>
    <w:rsid w:val="00A600DA"/>
    <w:rsid w:val="00A6097B"/>
    <w:rsid w:val="00A7201F"/>
    <w:rsid w:val="00A77337"/>
    <w:rsid w:val="00A824A1"/>
    <w:rsid w:val="00AA5AA5"/>
    <w:rsid w:val="00AC569B"/>
    <w:rsid w:val="00AD73E6"/>
    <w:rsid w:val="00AE2F67"/>
    <w:rsid w:val="00B21064"/>
    <w:rsid w:val="00B2407D"/>
    <w:rsid w:val="00B409CD"/>
    <w:rsid w:val="00B62C62"/>
    <w:rsid w:val="00BB3549"/>
    <w:rsid w:val="00BB43E2"/>
    <w:rsid w:val="00BB4914"/>
    <w:rsid w:val="00BC06F7"/>
    <w:rsid w:val="00BC5229"/>
    <w:rsid w:val="00BC5B54"/>
    <w:rsid w:val="00BE241F"/>
    <w:rsid w:val="00BF3C4D"/>
    <w:rsid w:val="00C1563A"/>
    <w:rsid w:val="00C222E8"/>
    <w:rsid w:val="00C22BA3"/>
    <w:rsid w:val="00C2697D"/>
    <w:rsid w:val="00C72A47"/>
    <w:rsid w:val="00C74CDA"/>
    <w:rsid w:val="00C9281A"/>
    <w:rsid w:val="00C94D69"/>
    <w:rsid w:val="00CA4DD6"/>
    <w:rsid w:val="00CD1794"/>
    <w:rsid w:val="00CE7C1E"/>
    <w:rsid w:val="00CF0386"/>
    <w:rsid w:val="00CF0494"/>
    <w:rsid w:val="00CF57CA"/>
    <w:rsid w:val="00D126FF"/>
    <w:rsid w:val="00D16AA4"/>
    <w:rsid w:val="00D258FD"/>
    <w:rsid w:val="00D323B0"/>
    <w:rsid w:val="00D32C0F"/>
    <w:rsid w:val="00D660BF"/>
    <w:rsid w:val="00D82612"/>
    <w:rsid w:val="00D8535A"/>
    <w:rsid w:val="00DA3344"/>
    <w:rsid w:val="00DB10FA"/>
    <w:rsid w:val="00DB2082"/>
    <w:rsid w:val="00DD67E4"/>
    <w:rsid w:val="00E076CA"/>
    <w:rsid w:val="00E10A85"/>
    <w:rsid w:val="00E23AAA"/>
    <w:rsid w:val="00E27C91"/>
    <w:rsid w:val="00E466E5"/>
    <w:rsid w:val="00E52072"/>
    <w:rsid w:val="00E52FED"/>
    <w:rsid w:val="00E64D20"/>
    <w:rsid w:val="00E8003C"/>
    <w:rsid w:val="00E820A6"/>
    <w:rsid w:val="00E860B5"/>
    <w:rsid w:val="00ED7EB9"/>
    <w:rsid w:val="00EE0928"/>
    <w:rsid w:val="00EE1296"/>
    <w:rsid w:val="00F03245"/>
    <w:rsid w:val="00F03CD7"/>
    <w:rsid w:val="00F15B09"/>
    <w:rsid w:val="00F22DDA"/>
    <w:rsid w:val="00F248F8"/>
    <w:rsid w:val="00F25DE4"/>
    <w:rsid w:val="00F301C0"/>
    <w:rsid w:val="00F315DC"/>
    <w:rsid w:val="00F35F8C"/>
    <w:rsid w:val="00F6419F"/>
    <w:rsid w:val="00F700EC"/>
    <w:rsid w:val="00F73A4D"/>
    <w:rsid w:val="00F8572A"/>
    <w:rsid w:val="00F87C6A"/>
    <w:rsid w:val="00FA637A"/>
    <w:rsid w:val="00FB2C3A"/>
    <w:rsid w:val="00FB7D6E"/>
    <w:rsid w:val="00FC5C2F"/>
    <w:rsid w:val="00FD107E"/>
    <w:rsid w:val="00FE0650"/>
    <w:rsid w:val="00FE1621"/>
    <w:rsid w:val="00F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3EFAC"/>
  <w15:chartTrackingRefBased/>
  <w15:docId w15:val="{48CE04DB-044E-49CF-A5A2-6249E78D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A16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A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A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A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A37A1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A37A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7A16"/>
    <w:pPr>
      <w:ind w:left="720"/>
      <w:contextualSpacing/>
    </w:pPr>
  </w:style>
  <w:style w:type="table" w:styleId="TableGrid">
    <w:name w:val="Table Grid"/>
    <w:basedOn w:val="TableNormal"/>
    <w:uiPriority w:val="39"/>
    <w:rsid w:val="00A37A1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A16"/>
    <w:rPr>
      <w:kern w:val="0"/>
      <w14:ligatures w14:val="none"/>
    </w:rPr>
  </w:style>
  <w:style w:type="paragraph" w:styleId="NormalWeb">
    <w:name w:val="Normal (Web)"/>
    <w:basedOn w:val="Normal"/>
    <w:uiPriority w:val="99"/>
    <w:unhideWhenUsed/>
    <w:rsid w:val="00A3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37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A16"/>
    <w:rPr>
      <w:kern w:val="0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A37A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7A16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A37A1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A60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304D5-F949-41BD-A473-3C3AAA500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Nunney</dc:creator>
  <cp:keywords/>
  <dc:description/>
  <cp:lastModifiedBy>Sam Nunney</cp:lastModifiedBy>
  <cp:revision>2</cp:revision>
  <dcterms:created xsi:type="dcterms:W3CDTF">2023-10-11T14:17:00Z</dcterms:created>
  <dcterms:modified xsi:type="dcterms:W3CDTF">2023-10-11T14:17:00Z</dcterms:modified>
</cp:coreProperties>
</file>