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1F3E" w14:textId="729F429C" w:rsidR="00863C33" w:rsidRPr="00863C33" w:rsidRDefault="00863C33" w:rsidP="00863C33">
      <w:pPr>
        <w:tabs>
          <w:tab w:val="left" w:pos="1100"/>
        </w:tabs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Anti Bullying Policy for the Parish of _________________________________________</w:t>
      </w:r>
    </w:p>
    <w:p w14:paraId="0DB46857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Name of group/club </w:t>
      </w:r>
    </w:p>
    <w:p w14:paraId="5D138AC6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Associated with (Name of Church) </w:t>
      </w:r>
    </w:p>
    <w:p w14:paraId="51BFBE79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b/>
          <w:bCs/>
          <w:sz w:val="24"/>
          <w:szCs w:val="24"/>
        </w:rPr>
        <w:t>This group/club</w:t>
      </w:r>
      <w:r w:rsidRPr="00863C33">
        <w:rPr>
          <w:rFonts w:ascii="Century Gothic" w:eastAsia="Calibri" w:hAnsi="Century Gothic" w:cs="Times New Roman"/>
          <w:sz w:val="24"/>
          <w:szCs w:val="24"/>
        </w:rPr>
        <w:t xml:space="preserve"> is committed to providing a caring,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friendly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and safe environment for all children, young people, volunteers and staff associated with it. </w:t>
      </w:r>
    </w:p>
    <w:p w14:paraId="43FAFB0D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Bullying – aggression with the intention of hurting another person - is therefore unacceptable and will be dealt with promptly and effectively. </w:t>
      </w:r>
    </w:p>
    <w:p w14:paraId="0E7E0C6D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Bullying can be: </w:t>
      </w:r>
    </w:p>
    <w:p w14:paraId="14AF57E4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Emotional being unfriendly, excluding, tormenting (e.g. hiding books, threatening gestures) </w:t>
      </w:r>
    </w:p>
    <w:p w14:paraId="25CB7256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Physical pushing, kicking, hitting, punching or any use of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violence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08EE230A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Racist racial taunts, graffiti, gestures </w:t>
      </w:r>
    </w:p>
    <w:p w14:paraId="32C2E949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Sexual unwanted physical contact or sexually abusive comments </w:t>
      </w:r>
    </w:p>
    <w:p w14:paraId="7A7C6743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Homophobic because of, or focussing on the issue of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sexuality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11927C10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Transphobic prejudice against transsexual or transgender people </w:t>
      </w:r>
    </w:p>
    <w:p w14:paraId="3BAE3C11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Verbal name-calling, sarcasm, spreading rumours,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teasing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2643323E" w14:textId="77777777" w:rsidR="00863C33" w:rsidRPr="00863C33" w:rsidRDefault="00863C33" w:rsidP="00863C33">
      <w:pPr>
        <w:numPr>
          <w:ilvl w:val="0"/>
          <w:numId w:val="1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Cyber All areas of internet, such as email &amp; internet chat room misuse Mobile threats by text messaging &amp; calls Misuse of associated technology, i.e. camera &amp;video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facilities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AEB34BC" w14:textId="77777777" w:rsidR="00863C33" w:rsidRPr="00863C33" w:rsidRDefault="00863C33" w:rsidP="00863C33">
      <w:pPr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863C33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This means we will: </w:t>
      </w:r>
    </w:p>
    <w:p w14:paraId="2C5303B0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Ensure that all staff and volunteers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have an understanding of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bullying and the anti-bullying policy, and are aware of the Signs and symptoms that an individual may be being bullied in Appendix One </w:t>
      </w:r>
    </w:p>
    <w:p w14:paraId="07C1464A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Create a safe environment by ensuring that all children, young people and their parents/carers know what the policy is and what measures they can take if bullying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occurs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1CB24613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Regularly talk about the impact of bullying and what it might feel like using resources like those by Kidscape, and encourage reporting of bullying incidents to staff or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volunteers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E36FB6C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Take measures to confront and remedy bullying behaviour and where necessary exclude bullying individuals from activities and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events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1E586B1A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Signpost victims of bullying (in whatever context) to the appropriate well-being resources </w:t>
      </w:r>
    </w:p>
    <w:p w14:paraId="41118A81" w14:textId="77777777" w:rsidR="00863C33" w:rsidRPr="00863C33" w:rsidRDefault="00863C33" w:rsidP="00863C33">
      <w:pPr>
        <w:ind w:left="360"/>
        <w:rPr>
          <w:rFonts w:ascii="Century Gothic" w:eastAsia="Calibri" w:hAnsi="Century Gothic" w:cs="Times New Roman"/>
          <w:sz w:val="24"/>
          <w:szCs w:val="24"/>
          <w:u w:val="single"/>
        </w:rPr>
      </w:pPr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 xml:space="preserve">Procedure if bullying is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>suspected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 xml:space="preserve"> </w:t>
      </w:r>
    </w:p>
    <w:p w14:paraId="58FB4A55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If a member of staff or volunteer suspects that an individual associated with the group/club is being bullied by other members of the group/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club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the first step is for a member of the team to have a </w:t>
      </w:r>
      <w:r w:rsidRPr="00863C33">
        <w:rPr>
          <w:rFonts w:ascii="Century Gothic" w:eastAsia="Calibri" w:hAnsi="Century Gothic" w:cs="Times New Roman"/>
          <w:sz w:val="24"/>
          <w:szCs w:val="24"/>
        </w:rPr>
        <w:lastRenderedPageBreak/>
        <w:t xml:space="preserve">discrete conversation with the individual and/or their parents/carers if appropriate </w:t>
      </w:r>
    </w:p>
    <w:p w14:paraId="3B5F860E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If the individual confirms that they are being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bullied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the issue and the bully must be dealt with as below and the conversation and remedial reaction recorded </w:t>
      </w:r>
    </w:p>
    <w:p w14:paraId="5AA6A57F" w14:textId="77777777" w:rsidR="00863C33" w:rsidRP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If the individual does not confirm that they are being bullied but concerns remain then it needs to be made clear to them that the conversation can be re-addressed at any stage. It might also be appropriate to do a general reminder to the group/club of the anti-bullying policy and behaviour that is expected of participants/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members</w:t>
      </w:r>
      <w:proofErr w:type="gramEnd"/>
    </w:p>
    <w:p w14:paraId="4627CDE1" w14:textId="77777777" w:rsidR="00863C33" w:rsidRDefault="00863C33" w:rsidP="00863C33">
      <w:pPr>
        <w:numPr>
          <w:ilvl w:val="0"/>
          <w:numId w:val="2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If the bullying is perpetrated by a member of staff or a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volunteer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this must be reported to the designated safeguarding officer and/or the group/club leader who will deal with it appropriately </w:t>
      </w:r>
    </w:p>
    <w:p w14:paraId="21F334F8" w14:textId="77777777" w:rsidR="00863C33" w:rsidRPr="00863C33" w:rsidRDefault="00863C33" w:rsidP="00863C33">
      <w:pPr>
        <w:ind w:left="720"/>
        <w:contextualSpacing/>
        <w:rPr>
          <w:rFonts w:ascii="Century Gothic" w:eastAsia="Calibri" w:hAnsi="Century Gothic" w:cs="Times New Roman"/>
          <w:sz w:val="24"/>
          <w:szCs w:val="24"/>
        </w:rPr>
      </w:pPr>
    </w:p>
    <w:p w14:paraId="00121B4A" w14:textId="77777777" w:rsidR="00863C33" w:rsidRPr="00863C33" w:rsidRDefault="00863C33" w:rsidP="00863C33">
      <w:pPr>
        <w:ind w:left="360"/>
        <w:rPr>
          <w:rFonts w:ascii="Century Gothic" w:eastAsia="Calibri" w:hAnsi="Century Gothic" w:cs="Times New Roman"/>
          <w:sz w:val="24"/>
          <w:szCs w:val="24"/>
          <w:u w:val="single"/>
        </w:rPr>
      </w:pPr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 xml:space="preserve">Procedure where bullying has taken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>place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 xml:space="preserve"> </w:t>
      </w:r>
    </w:p>
    <w:p w14:paraId="51ADA499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If bullying behaviour is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witnessed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the member of staff or volunteer who witnessed the incident should remind the perpetrator of the anti-bullying policy and the nature of the unacceptable behaviour and ask the perpetrator to apologise to the victim and not repeat the offence. The witness should make a note of the incident and actions taken to remedy the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situation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0D905CB3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There should also be a conversation with the victim of the bullying behaviour about whether this was a one off or is regular occurrence in their life that they might need help with </w:t>
      </w:r>
    </w:p>
    <w:p w14:paraId="7640FB57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If bullying behaviour is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reported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discussion needs to be had with the designated safeguarding officer and/or the group/club leader about how to proceed to ensure that measures are taken to prevent repercussions to the victim for ‘grassing’ </w:t>
      </w:r>
    </w:p>
    <w:p w14:paraId="35F74147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Quite often bullying behaviour is a response to being bullied and/or feelings of insecurity. Conversations with perpetrators of bullying behaviour should therefore be carried out with sensitivity as well as justice. These are best held in a quiet location with two adults present and focus on helping the perpetrator of the bullying behaviour understand the impact of their behaviour and how they can stop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it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69900041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Where serious bullying has occurred records should be kept of incidences and remedial conversations </w:t>
      </w:r>
    </w:p>
    <w:p w14:paraId="5466B80C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If the behaviour does not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cease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then individuals may be excluded from the group/club for a number of sessions/activities or banned forever depending on the seriousness of the incident. At this stage, if appropriate, parents may need to be informed of the decision and why it has been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taken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03AF768F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lastRenderedPageBreak/>
        <w:t xml:space="preserve">If the bullying behaviour is considered dangerous then the group/club should contact the police immediately </w:t>
      </w:r>
    </w:p>
    <w:p w14:paraId="7D640963" w14:textId="77777777" w:rsidR="00863C33" w:rsidRPr="00863C33" w:rsidRDefault="00863C33" w:rsidP="00863C33">
      <w:pPr>
        <w:numPr>
          <w:ilvl w:val="0"/>
          <w:numId w:val="3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The situation should be monitored to ensure that the bullying behaviour has ceased and not mutated to another less visible form of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abuse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01C91913" w14:textId="77777777" w:rsidR="00863C33" w:rsidRPr="00863C33" w:rsidRDefault="00863C33" w:rsidP="00863C33">
      <w:pPr>
        <w:ind w:left="720"/>
        <w:rPr>
          <w:rFonts w:ascii="Century Gothic" w:eastAsia="Calibri" w:hAnsi="Century Gothic" w:cs="Times New Roman"/>
          <w:sz w:val="24"/>
          <w:szCs w:val="24"/>
        </w:rPr>
      </w:pPr>
    </w:p>
    <w:p w14:paraId="37DE513A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  <w:u w:val="single"/>
        </w:rPr>
      </w:pPr>
      <w:r w:rsidRPr="00863C33">
        <w:rPr>
          <w:rFonts w:ascii="Century Gothic" w:eastAsia="Calibri" w:hAnsi="Century Gothic" w:cs="Times New Roman"/>
          <w:sz w:val="24"/>
          <w:szCs w:val="24"/>
          <w:u w:val="single"/>
        </w:rPr>
        <w:t xml:space="preserve">Contact Details of relevant people and agencies </w:t>
      </w:r>
    </w:p>
    <w:tbl>
      <w:tblPr>
        <w:tblStyle w:val="TableGrid1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4765"/>
        <w:gridCol w:w="3735"/>
      </w:tblGrid>
      <w:tr w:rsidR="00863C33" w:rsidRPr="00863C33" w14:paraId="72F120ED" w14:textId="77777777" w:rsidTr="00863C33">
        <w:tc>
          <w:tcPr>
            <w:tcW w:w="4765" w:type="dxa"/>
          </w:tcPr>
          <w:p w14:paraId="5644880C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Designated safeguarding officer for the group/club: </w:t>
            </w:r>
          </w:p>
          <w:p w14:paraId="1E240549" w14:textId="77777777" w:rsidR="00863C33" w:rsidRPr="00863C33" w:rsidRDefault="00863C33" w:rsidP="00863C33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  <w:tc>
          <w:tcPr>
            <w:tcW w:w="3735" w:type="dxa"/>
          </w:tcPr>
          <w:p w14:paraId="66EB7B96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</w:tr>
      <w:tr w:rsidR="00863C33" w:rsidRPr="00863C33" w14:paraId="2501F2BD" w14:textId="77777777" w:rsidTr="00863C33">
        <w:tc>
          <w:tcPr>
            <w:tcW w:w="4765" w:type="dxa"/>
          </w:tcPr>
          <w:p w14:paraId="27891278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Qualified First Aiders: </w:t>
            </w:r>
          </w:p>
          <w:p w14:paraId="50964E80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  <w:tc>
          <w:tcPr>
            <w:tcW w:w="3735" w:type="dxa"/>
          </w:tcPr>
          <w:p w14:paraId="314E543A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</w:p>
        </w:tc>
      </w:tr>
      <w:tr w:rsidR="00863C33" w:rsidRPr="00863C33" w14:paraId="27C63AA7" w14:textId="77777777" w:rsidTr="00863C33">
        <w:tc>
          <w:tcPr>
            <w:tcW w:w="4765" w:type="dxa"/>
          </w:tcPr>
          <w:p w14:paraId="56CA02F1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Advisory Centre for Education (ACE) </w:t>
            </w:r>
          </w:p>
          <w:p w14:paraId="1EDFBFEE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Children's Legal Centre KIDSCAPE Parents Helpline (Mon-Fri, 10-4) </w:t>
            </w:r>
            <w:proofErr w:type="spellStart"/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Parentline</w:t>
            </w:r>
            <w:proofErr w:type="spellEnd"/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Plus </w:t>
            </w:r>
          </w:p>
          <w:p w14:paraId="08D2C1EA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Youth Access </w:t>
            </w:r>
          </w:p>
          <w:p w14:paraId="1865E72E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Bullying Online </w:t>
            </w:r>
          </w:p>
          <w:p w14:paraId="186299E5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Kidscape   </w:t>
            </w:r>
          </w:p>
        </w:tc>
        <w:tc>
          <w:tcPr>
            <w:tcW w:w="3735" w:type="dxa"/>
          </w:tcPr>
          <w:p w14:paraId="19B692ED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0808 800 5793</w:t>
            </w:r>
          </w:p>
          <w:p w14:paraId="0C2F5270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0845 345 4345</w:t>
            </w:r>
          </w:p>
          <w:p w14:paraId="0E7A38FB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0845 1 205 204</w:t>
            </w:r>
          </w:p>
          <w:p w14:paraId="01E8A1B2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0808 800 2222</w:t>
            </w:r>
          </w:p>
          <w:p w14:paraId="548FD918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020 8772 9900</w:t>
            </w:r>
          </w:p>
          <w:p w14:paraId="2D8846BD" w14:textId="77777777" w:rsidR="00863C33" w:rsidRPr="00863C33" w:rsidRDefault="009A43D2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hyperlink r:id="rId7" w:history="1">
              <w:r w:rsidR="00863C33" w:rsidRPr="00863C33">
                <w:rPr>
                  <w:rFonts w:ascii="Century Gothic" w:eastAsia="Calibri" w:hAnsi="Century Gothic" w:cs="Times New Roman"/>
                  <w:color w:val="0563C1"/>
                  <w:sz w:val="24"/>
                  <w:szCs w:val="24"/>
                  <w:u w:val="single"/>
                </w:rPr>
                <w:t>www.bullying.co.uk</w:t>
              </w:r>
            </w:hyperlink>
          </w:p>
          <w:p w14:paraId="600E830C" w14:textId="77777777" w:rsidR="00863C33" w:rsidRPr="00863C33" w:rsidRDefault="009A43D2" w:rsidP="00863C33">
            <w:pPr>
              <w:rPr>
                <w:rFonts w:ascii="Century Gothic" w:eastAsia="Calibri" w:hAnsi="Century Gothic" w:cs="Times New Roman"/>
                <w:sz w:val="24"/>
                <w:szCs w:val="24"/>
                <w:u w:val="single"/>
              </w:rPr>
            </w:pPr>
            <w:hyperlink r:id="rId8" w:history="1">
              <w:r w:rsidR="00863C33" w:rsidRPr="00863C33">
                <w:rPr>
                  <w:rFonts w:ascii="Century Gothic" w:eastAsia="Calibri" w:hAnsi="Century Gothic" w:cs="Times New Roman"/>
                  <w:color w:val="0563C1"/>
                  <w:sz w:val="24"/>
                  <w:szCs w:val="24"/>
                  <w:u w:val="single"/>
                </w:rPr>
                <w:t>www.kidscape.org.uk</w:t>
              </w:r>
            </w:hyperlink>
            <w:r w:rsidR="00863C33"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14:paraId="6E5C30A2" w14:textId="77777777" w:rsid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</w:p>
    <w:p w14:paraId="1F1C10FE" w14:textId="7AC4E398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I have read this document and agree to pay attention to the signs and symptoms of bullying and confront bullying behaviour as per the procedures above.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7146"/>
      </w:tblGrid>
      <w:tr w:rsidR="00863C33" w:rsidRPr="00863C33" w14:paraId="46D073D1" w14:textId="77777777" w:rsidTr="000E4E31">
        <w:trPr>
          <w:trHeight w:val="409"/>
        </w:trPr>
        <w:tc>
          <w:tcPr>
            <w:tcW w:w="1885" w:type="dxa"/>
          </w:tcPr>
          <w:p w14:paraId="12C4A0A4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Name</w:t>
            </w:r>
          </w:p>
        </w:tc>
        <w:tc>
          <w:tcPr>
            <w:tcW w:w="7335" w:type="dxa"/>
          </w:tcPr>
          <w:p w14:paraId="1C53682E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863C33" w:rsidRPr="00863C33" w14:paraId="6B0EB1A9" w14:textId="77777777" w:rsidTr="000E4E31">
        <w:trPr>
          <w:trHeight w:val="436"/>
        </w:trPr>
        <w:tc>
          <w:tcPr>
            <w:tcW w:w="1885" w:type="dxa"/>
          </w:tcPr>
          <w:p w14:paraId="45F8013A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Signature</w:t>
            </w:r>
          </w:p>
        </w:tc>
        <w:tc>
          <w:tcPr>
            <w:tcW w:w="7335" w:type="dxa"/>
          </w:tcPr>
          <w:p w14:paraId="5653E1EA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863C33" w:rsidRPr="00863C33" w14:paraId="1482F546" w14:textId="77777777" w:rsidTr="000E4E31">
        <w:trPr>
          <w:trHeight w:val="436"/>
        </w:trPr>
        <w:tc>
          <w:tcPr>
            <w:tcW w:w="1885" w:type="dxa"/>
          </w:tcPr>
          <w:p w14:paraId="2DC29090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863C33">
              <w:rPr>
                <w:rFonts w:ascii="Century Gothic" w:eastAsia="Calibri" w:hAnsi="Century Gothic" w:cs="Times New Roman"/>
                <w:sz w:val="24"/>
                <w:szCs w:val="24"/>
              </w:rPr>
              <w:t>Date</w:t>
            </w:r>
          </w:p>
        </w:tc>
        <w:tc>
          <w:tcPr>
            <w:tcW w:w="7335" w:type="dxa"/>
          </w:tcPr>
          <w:p w14:paraId="1C30BB02" w14:textId="77777777" w:rsidR="00863C33" w:rsidRPr="00863C33" w:rsidRDefault="00863C33" w:rsidP="00863C33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14:paraId="7F084515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 </w:t>
      </w:r>
    </w:p>
    <w:p w14:paraId="7B4F41D8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br w:type="page"/>
      </w:r>
    </w:p>
    <w:p w14:paraId="2A9DE831" w14:textId="77777777" w:rsidR="00863C33" w:rsidRPr="00863C33" w:rsidRDefault="00863C33" w:rsidP="00863C33">
      <w:pPr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</w:pPr>
      <w:r w:rsidRPr="00863C33">
        <w:rPr>
          <w:rFonts w:ascii="Century Gothic" w:eastAsia="Calibri" w:hAnsi="Century Gothic" w:cs="Times New Roman"/>
          <w:b/>
          <w:bCs/>
          <w:sz w:val="24"/>
          <w:szCs w:val="24"/>
          <w:u w:val="single"/>
        </w:rPr>
        <w:lastRenderedPageBreak/>
        <w:t xml:space="preserve">Appendix One - Signs and Symptoms of bullying </w:t>
      </w:r>
    </w:p>
    <w:p w14:paraId="06E168DC" w14:textId="77777777" w:rsidR="00863C33" w:rsidRPr="00863C33" w:rsidRDefault="00863C33" w:rsidP="00863C33">
      <w:pPr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A child may indicate by signs or behaviour that they are being bullied. Adults should be aware of these possible signs and that they should investigate if a child: </w:t>
      </w:r>
    </w:p>
    <w:p w14:paraId="10807739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frightened of walking to or from school or Youth club. </w:t>
      </w:r>
    </w:p>
    <w:p w14:paraId="2B6A7B22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doesn't want to go on the school / public bus. </w:t>
      </w:r>
    </w:p>
    <w:p w14:paraId="2F028E63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begs to be driven to school or Youth club. </w:t>
      </w:r>
    </w:p>
    <w:p w14:paraId="101D26F0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changes their usual routine. </w:t>
      </w:r>
    </w:p>
    <w:p w14:paraId="496B76CA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unwilling to go to school or Youth club. </w:t>
      </w:r>
    </w:p>
    <w:p w14:paraId="3AB906AA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begins to truant. </w:t>
      </w:r>
    </w:p>
    <w:p w14:paraId="67417515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becomes withdrawn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anxious, or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lacking in confidence. </w:t>
      </w:r>
    </w:p>
    <w:p w14:paraId="553591DA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starts stammering. </w:t>
      </w:r>
    </w:p>
    <w:p w14:paraId="03292F44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attempts or threatens suicide or runs away. </w:t>
      </w:r>
    </w:p>
    <w:p w14:paraId="5E06F9BA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cries themselves to sleep at night or has nightmares.</w:t>
      </w:r>
    </w:p>
    <w:p w14:paraId="4CA72CFD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feels ill in the morning. </w:t>
      </w:r>
    </w:p>
    <w:p w14:paraId="4475BD47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begins to do poorly in schoolwork. </w:t>
      </w:r>
    </w:p>
    <w:p w14:paraId="73EB1EB0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comes home with clothes torn or books damaged. </w:t>
      </w:r>
    </w:p>
    <w:p w14:paraId="1E05343C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has possessions which are damaged or " go missing". </w:t>
      </w:r>
    </w:p>
    <w:p w14:paraId="48B1A3A9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>asks for money or starts stealing money (to pay bully).</w:t>
      </w:r>
    </w:p>
    <w:p w14:paraId="61E05745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has dinner or other monies continually "lost". </w:t>
      </w:r>
    </w:p>
    <w:p w14:paraId="7680D9D7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has unexplained cuts or bruises. </w:t>
      </w:r>
    </w:p>
    <w:p w14:paraId="4831FCE6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comes home starving (money / lunch has been stolen) </w:t>
      </w:r>
    </w:p>
    <w:p w14:paraId="40BFDDB2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becomes aggressive, </w:t>
      </w:r>
      <w:proofErr w:type="gramStart"/>
      <w:r w:rsidRPr="00863C33">
        <w:rPr>
          <w:rFonts w:ascii="Century Gothic" w:eastAsia="Calibri" w:hAnsi="Century Gothic" w:cs="Times New Roman"/>
          <w:sz w:val="24"/>
          <w:szCs w:val="24"/>
        </w:rPr>
        <w:t>disruptive</w:t>
      </w:r>
      <w:proofErr w:type="gramEnd"/>
      <w:r w:rsidRPr="00863C33">
        <w:rPr>
          <w:rFonts w:ascii="Century Gothic" w:eastAsia="Calibri" w:hAnsi="Century Gothic" w:cs="Times New Roman"/>
          <w:sz w:val="24"/>
          <w:szCs w:val="24"/>
        </w:rPr>
        <w:t xml:space="preserve"> or unreasonable. </w:t>
      </w:r>
    </w:p>
    <w:p w14:paraId="1BA8BCD9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bullying other children or siblings. </w:t>
      </w:r>
    </w:p>
    <w:p w14:paraId="336199BD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stops eating. </w:t>
      </w:r>
    </w:p>
    <w:p w14:paraId="4253B762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frightened to say what's wrong. </w:t>
      </w:r>
    </w:p>
    <w:p w14:paraId="20AF0EA2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gives improbable excuses for any of the above </w:t>
      </w:r>
    </w:p>
    <w:p w14:paraId="76D12322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afraid to use the internet or mobile phone. </w:t>
      </w:r>
    </w:p>
    <w:p w14:paraId="503DB7BA" w14:textId="77777777" w:rsidR="00863C33" w:rsidRPr="00863C33" w:rsidRDefault="00863C33" w:rsidP="00863C33">
      <w:pPr>
        <w:numPr>
          <w:ilvl w:val="0"/>
          <w:numId w:val="4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863C33">
        <w:rPr>
          <w:rFonts w:ascii="Century Gothic" w:eastAsia="Calibri" w:hAnsi="Century Gothic" w:cs="Times New Roman"/>
          <w:sz w:val="24"/>
          <w:szCs w:val="24"/>
        </w:rPr>
        <w:t xml:space="preserve">is nervous &amp; jumpy when a cyber message is received. </w:t>
      </w:r>
    </w:p>
    <w:p w14:paraId="78F4599E" w14:textId="6ABE3575" w:rsidR="0098534F" w:rsidRDefault="00863C33" w:rsidP="00863C33">
      <w:r w:rsidRPr="00863C33">
        <w:rPr>
          <w:rFonts w:ascii="Century Gothic" w:eastAsia="Calibri" w:hAnsi="Century Gothic" w:cs="Times New Roman"/>
          <w:sz w:val="24"/>
          <w:szCs w:val="24"/>
        </w:rPr>
        <w:t>These signs and behaviours could indicate other problems, but bullying should be considered a possibility and should be investigate.</w:t>
      </w:r>
    </w:p>
    <w:sectPr w:rsidR="0098534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617C" w14:textId="77777777" w:rsidR="00F425F9" w:rsidRDefault="00F425F9" w:rsidP="000917E4">
      <w:pPr>
        <w:spacing w:after="0" w:line="240" w:lineRule="auto"/>
      </w:pPr>
      <w:r>
        <w:separator/>
      </w:r>
    </w:p>
  </w:endnote>
  <w:endnote w:type="continuationSeparator" w:id="0">
    <w:p w14:paraId="66B25374" w14:textId="77777777" w:rsidR="00F425F9" w:rsidRDefault="00F425F9" w:rsidP="000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5749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22526B" w14:textId="111603CC" w:rsidR="000917E4" w:rsidRDefault="000917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7962A5" w14:textId="1223AF94" w:rsidR="000917E4" w:rsidRDefault="000917E4">
    <w:pPr>
      <w:pStyle w:val="Footer"/>
    </w:pPr>
    <w:r>
      <w:t>Antibullying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6132" w14:textId="77777777" w:rsidR="00F425F9" w:rsidRDefault="00F425F9" w:rsidP="000917E4">
      <w:pPr>
        <w:spacing w:after="0" w:line="240" w:lineRule="auto"/>
      </w:pPr>
      <w:r>
        <w:separator/>
      </w:r>
    </w:p>
  </w:footnote>
  <w:footnote w:type="continuationSeparator" w:id="0">
    <w:p w14:paraId="5BBA2353" w14:textId="77777777" w:rsidR="00F425F9" w:rsidRDefault="00F425F9" w:rsidP="00091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60F" w14:textId="380B99BF" w:rsidR="000917E4" w:rsidRDefault="009A43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105B2" wp14:editId="54829712">
          <wp:simplePos x="0" y="0"/>
          <wp:positionH relativeFrom="column">
            <wp:posOffset>4914900</wp:posOffset>
          </wp:positionH>
          <wp:positionV relativeFrom="paragraph">
            <wp:posOffset>-506730</wp:posOffset>
          </wp:positionV>
          <wp:extent cx="970915" cy="970915"/>
          <wp:effectExtent l="0" t="0" r="0" b="0"/>
          <wp:wrapNone/>
          <wp:docPr id="394537583" name="Picture 1" descr="A white circl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537583" name="Picture 1" descr="A white circl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7E4">
      <w:t>Model anti bullying policy (Based on Diocese of York)</w:t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AB9"/>
    <w:multiLevelType w:val="hybridMultilevel"/>
    <w:tmpl w:val="E414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0933"/>
    <w:multiLevelType w:val="hybridMultilevel"/>
    <w:tmpl w:val="579A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3197"/>
    <w:multiLevelType w:val="hybridMultilevel"/>
    <w:tmpl w:val="377E2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331FE"/>
    <w:multiLevelType w:val="hybridMultilevel"/>
    <w:tmpl w:val="3EAA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1927">
    <w:abstractNumId w:val="3"/>
  </w:num>
  <w:num w:numId="2" w16cid:durableId="662708259">
    <w:abstractNumId w:val="1"/>
  </w:num>
  <w:num w:numId="3" w16cid:durableId="1575969869">
    <w:abstractNumId w:val="2"/>
  </w:num>
  <w:num w:numId="4" w16cid:durableId="176260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33"/>
    <w:rsid w:val="000917E4"/>
    <w:rsid w:val="00607E65"/>
    <w:rsid w:val="00863C33"/>
    <w:rsid w:val="0098534F"/>
    <w:rsid w:val="009A43D2"/>
    <w:rsid w:val="00A40ED5"/>
    <w:rsid w:val="00B16A57"/>
    <w:rsid w:val="00EA0C72"/>
    <w:rsid w:val="00F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A757"/>
  <w15:chartTrackingRefBased/>
  <w15:docId w15:val="{A693ED0F-1515-4AD4-BCCB-787B3AC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C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C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C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C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C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C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C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C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C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C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C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C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C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C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C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C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C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C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3C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C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3C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3C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C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3C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3C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C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C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3C33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86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E4"/>
  </w:style>
  <w:style w:type="paragraph" w:styleId="Footer">
    <w:name w:val="footer"/>
    <w:basedOn w:val="Normal"/>
    <w:link w:val="FooterChar"/>
    <w:uiPriority w:val="99"/>
    <w:unhideWhenUsed/>
    <w:rsid w:val="00091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cap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llyin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Ottewell</dc:creator>
  <cp:keywords/>
  <dc:description/>
  <cp:lastModifiedBy>Laura Ottewell</cp:lastModifiedBy>
  <cp:revision>3</cp:revision>
  <dcterms:created xsi:type="dcterms:W3CDTF">2024-03-05T16:29:00Z</dcterms:created>
  <dcterms:modified xsi:type="dcterms:W3CDTF">2024-03-19T21:19:00Z</dcterms:modified>
</cp:coreProperties>
</file>